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65780" w14:textId="3F4D05B2" w:rsidR="009C23FD" w:rsidRDefault="009C23FD"/>
    <w:p w14:paraId="1EEABF4B" w14:textId="2D9EE147" w:rsidR="00CB7419" w:rsidRDefault="00CB7419">
      <w:pPr>
        <w:rPr>
          <w:b/>
        </w:rPr>
      </w:pPr>
      <w:r>
        <w:tab/>
      </w:r>
      <w:r>
        <w:tab/>
      </w:r>
      <w:r>
        <w:tab/>
      </w:r>
      <w:r>
        <w:tab/>
      </w:r>
      <w:r w:rsidR="00ED256C">
        <w:tab/>
      </w:r>
      <w:r w:rsidRPr="00CB7419">
        <w:rPr>
          <w:b/>
        </w:rPr>
        <w:t xml:space="preserve">DOCKET NO. </w:t>
      </w:r>
      <w:r w:rsidR="00584CBD">
        <w:rPr>
          <w:b/>
        </w:rPr>
        <w:t>51973</w:t>
      </w:r>
    </w:p>
    <w:p w14:paraId="3E30462E" w14:textId="77777777" w:rsidR="002B3F78" w:rsidRPr="00CB7419" w:rsidRDefault="002B3F78">
      <w:pPr>
        <w:rPr>
          <w:b/>
        </w:rPr>
      </w:pPr>
    </w:p>
    <w:p w14:paraId="17CD865F" w14:textId="26A163E5" w:rsidR="00CB7419" w:rsidRDefault="00CB7419">
      <w:r>
        <w:t xml:space="preserve">Petition of </w:t>
      </w:r>
      <w:r w:rsidR="00250848">
        <w:t>Rodney Earl Mohnke, et al</w:t>
      </w:r>
      <w:r>
        <w:t xml:space="preserve"> to </w:t>
      </w:r>
      <w:r>
        <w:tab/>
        <w:t xml:space="preserve">   *               Before the Public Utility Commission</w:t>
      </w:r>
    </w:p>
    <w:p w14:paraId="5782FA10" w14:textId="39A459AF" w:rsidR="00CB7419" w:rsidRDefault="00C6486E">
      <w:r>
        <w:t xml:space="preserve"> </w:t>
      </w:r>
      <w:r w:rsidR="00250848">
        <w:t xml:space="preserve">Amend HMW </w:t>
      </w:r>
      <w:r w:rsidR="00CB7419">
        <w:t xml:space="preserve">Special Utility District’s Water </w:t>
      </w:r>
      <w:r w:rsidR="00250848">
        <w:t xml:space="preserve">         </w:t>
      </w:r>
      <w:r w:rsidR="00CB7419">
        <w:t>*</w:t>
      </w:r>
      <w:r w:rsidR="00CB7419">
        <w:tab/>
      </w:r>
      <w:r w:rsidR="00CB7419">
        <w:tab/>
      </w:r>
      <w:r w:rsidR="00CB7419">
        <w:tab/>
        <w:t>of Texas</w:t>
      </w:r>
    </w:p>
    <w:p w14:paraId="44B5B34E" w14:textId="7111505C" w:rsidR="00CB7419" w:rsidRDefault="00C6486E">
      <w:r>
        <w:t xml:space="preserve"> </w:t>
      </w:r>
      <w:r w:rsidR="00250848">
        <w:t xml:space="preserve">Certificate of </w:t>
      </w:r>
      <w:r w:rsidR="00CB7419">
        <w:t>Convenience and Necessity in           *</w:t>
      </w:r>
    </w:p>
    <w:p w14:paraId="350937B9" w14:textId="7087D423" w:rsidR="00EC7531" w:rsidRDefault="00C6486E" w:rsidP="00144192">
      <w:r>
        <w:t xml:space="preserve"> </w:t>
      </w:r>
      <w:r w:rsidR="00250848">
        <w:t xml:space="preserve">Harris County </w:t>
      </w:r>
      <w:r w:rsidR="00CB7419">
        <w:t>by Expedited Release</w:t>
      </w:r>
      <w:r w:rsidR="00CB7419">
        <w:tab/>
      </w:r>
      <w:r w:rsidR="00CB7419">
        <w:tab/>
      </w:r>
      <w:r w:rsidR="00250848">
        <w:t xml:space="preserve">  </w:t>
      </w:r>
      <w:r w:rsidR="00CB7419">
        <w:t xml:space="preserve"> *</w:t>
      </w:r>
    </w:p>
    <w:p w14:paraId="4D15BAD7" w14:textId="03B78B4D" w:rsidR="00A739A3" w:rsidRPr="0076147D" w:rsidRDefault="00E571EB" w:rsidP="002C716F">
      <w:pPr>
        <w:spacing w:after="0"/>
        <w:ind w:left="720"/>
        <w:rPr>
          <w:b/>
          <w:bCs/>
          <w:u w:val="single"/>
        </w:rPr>
      </w:pPr>
      <w:r w:rsidRPr="0076147D">
        <w:rPr>
          <w:b/>
          <w:bCs/>
        </w:rPr>
        <w:t xml:space="preserve">   </w:t>
      </w:r>
      <w:r w:rsidR="00EC7531" w:rsidRPr="0076147D">
        <w:rPr>
          <w:b/>
          <w:bCs/>
        </w:rPr>
        <w:t xml:space="preserve">       </w:t>
      </w:r>
      <w:r w:rsidR="00EC7531" w:rsidRPr="0076147D">
        <w:rPr>
          <w:b/>
          <w:bCs/>
          <w:u w:val="single"/>
        </w:rPr>
        <w:t xml:space="preserve">RESPONSE TO OWNER COMMENTS/OBJECTION TO APPRAISAL FILING </w:t>
      </w:r>
      <w:r w:rsidR="00580984" w:rsidRPr="0076147D">
        <w:rPr>
          <w:b/>
          <w:bCs/>
          <w:u w:val="single"/>
        </w:rPr>
        <w:t xml:space="preserve"> </w:t>
      </w:r>
      <w:r w:rsidR="00144192" w:rsidRPr="0076147D">
        <w:rPr>
          <w:b/>
          <w:bCs/>
          <w:u w:val="single"/>
        </w:rPr>
        <w:t xml:space="preserve"> </w:t>
      </w:r>
    </w:p>
    <w:p w14:paraId="7BDB898C" w14:textId="77777777" w:rsidR="00896CE6" w:rsidRPr="002C716F" w:rsidRDefault="00896CE6" w:rsidP="002C716F">
      <w:pPr>
        <w:spacing w:after="0"/>
        <w:ind w:left="720"/>
      </w:pPr>
    </w:p>
    <w:p w14:paraId="740911E1" w14:textId="2922B970" w:rsidR="0056097B" w:rsidRDefault="00CB7419">
      <w:r w:rsidRPr="00CB7419">
        <w:tab/>
        <w:t>C</w:t>
      </w:r>
      <w:r>
        <w:t xml:space="preserve">omes now the HMW Special Utility District of Harris and Montgomery Counties(“HMW”), filing its </w:t>
      </w:r>
      <w:r w:rsidR="00EC7531">
        <w:t xml:space="preserve">Comments/Objection to Appraisal Filing, filed with </w:t>
      </w:r>
      <w:r w:rsidR="00580984">
        <w:t xml:space="preserve">Public Utility Commission(“PUC”) </w:t>
      </w:r>
      <w:r w:rsidR="00EC7531">
        <w:t xml:space="preserve">on January </w:t>
      </w:r>
      <w:r w:rsidR="009930DF" w:rsidRPr="009930DF">
        <w:t>24</w:t>
      </w:r>
      <w:r w:rsidR="00EC7531">
        <w:t xml:space="preserve">, 2022, </w:t>
      </w:r>
      <w:r w:rsidR="00580984">
        <w:t xml:space="preserve">in </w:t>
      </w:r>
      <w:r w:rsidR="00821E69">
        <w:t xml:space="preserve">the </w:t>
      </w:r>
      <w:r w:rsidR="0076147D">
        <w:t xml:space="preserve">above-styled </w:t>
      </w:r>
      <w:r w:rsidR="00821E69">
        <w:t xml:space="preserve">Petition </w:t>
      </w:r>
      <w:r w:rsidR="0076147D">
        <w:t xml:space="preserve">for Decertification </w:t>
      </w:r>
      <w:r w:rsidR="00250848">
        <w:t>of Rodney Earl Mohnke, et al</w:t>
      </w:r>
      <w:r w:rsidR="00546C2F">
        <w:t xml:space="preserve"> (“Petition”), </w:t>
      </w:r>
      <w:r>
        <w:t>and states as follows:</w:t>
      </w:r>
    </w:p>
    <w:p w14:paraId="5C4FA3A9" w14:textId="216AF49F" w:rsidR="00944243" w:rsidRDefault="000562DD" w:rsidP="000562DD">
      <w:r>
        <w:tab/>
      </w:r>
      <w:r>
        <w:tab/>
      </w:r>
      <w:r>
        <w:tab/>
      </w:r>
      <w:r>
        <w:tab/>
      </w:r>
      <w:r>
        <w:tab/>
      </w:r>
      <w:r>
        <w:tab/>
        <w:t xml:space="preserve">  I.</w:t>
      </w:r>
    </w:p>
    <w:p w14:paraId="364D0D50" w14:textId="594BB956" w:rsidR="006F2631" w:rsidRDefault="00DA2A12" w:rsidP="00821E69">
      <w:r>
        <w:tab/>
      </w:r>
      <w:r w:rsidR="00C970FD">
        <w:t xml:space="preserve">This responds to </w:t>
      </w:r>
      <w:r w:rsidR="00BB4EFC">
        <w:t>the</w:t>
      </w:r>
      <w:r w:rsidR="00C970FD">
        <w:t xml:space="preserve"> effort by the property owners(“Owners”) to dismiss HMW’s timely-filed appraisal, with the hope of </w:t>
      </w:r>
      <w:r w:rsidR="00BB4EFC">
        <w:t>eliminat</w:t>
      </w:r>
      <w:r w:rsidR="00C970FD">
        <w:t>ing it</w:t>
      </w:r>
      <w:r w:rsidR="00BB4EFC">
        <w:t>s</w:t>
      </w:r>
      <w:r w:rsidR="00C970FD">
        <w:t xml:space="preserve"> consideration by the PUC</w:t>
      </w:r>
      <w:r w:rsidR="006F2631">
        <w:t xml:space="preserve"> for the purpose of determining compensation</w:t>
      </w:r>
      <w:r w:rsidR="00C970FD">
        <w:t xml:space="preserve">. More specifically, the Owners complain that the appraisal fails to address any of the factors for determining </w:t>
      </w:r>
      <w:r w:rsidR="006F2631">
        <w:t>compensation that are set forth in Water Code Section 13.254(g).</w:t>
      </w:r>
    </w:p>
    <w:p w14:paraId="59F595BF" w14:textId="093E052C" w:rsidR="006F2631" w:rsidRDefault="006F2631" w:rsidP="00821E69">
      <w:r>
        <w:tab/>
        <w:t>The Owners position is obviously erroneous on the face of the statute.</w:t>
      </w:r>
    </w:p>
    <w:p w14:paraId="136972EF" w14:textId="3A994B43" w:rsidR="0093691F" w:rsidRDefault="006F2631" w:rsidP="00821E69">
      <w:r>
        <w:tab/>
      </w:r>
      <w:r w:rsidR="00BA6D22">
        <w:t xml:space="preserve">The relevant portion of </w:t>
      </w:r>
      <w:r w:rsidR="0093691F">
        <w:t>S</w:t>
      </w:r>
      <w:r w:rsidR="00BA6D22">
        <w:t>ubs</w:t>
      </w:r>
      <w:r w:rsidR="0093691F">
        <w:t xml:space="preserve">ection </w:t>
      </w:r>
      <w:r w:rsidR="00BA6D22">
        <w:t>(</w:t>
      </w:r>
      <w:r>
        <w:t>g</w:t>
      </w:r>
      <w:r w:rsidR="00BA6D22">
        <w:t>)</w:t>
      </w:r>
      <w:r w:rsidR="0093691F">
        <w:t xml:space="preserve"> provides as follows:</w:t>
      </w:r>
    </w:p>
    <w:p w14:paraId="663F37AE" w14:textId="77777777" w:rsidR="00CB0B83" w:rsidRDefault="00974224" w:rsidP="00974224">
      <w:pPr>
        <w:rPr>
          <w:rFonts w:ascii="Daytona" w:hAnsi="Daytona" w:cs="Courier New"/>
          <w:color w:val="000000"/>
          <w:sz w:val="20"/>
          <w:szCs w:val="20"/>
          <w:shd w:val="clear" w:color="auto" w:fill="FFFFFF"/>
        </w:rPr>
      </w:pPr>
      <w:r>
        <w:rPr>
          <w:rFonts w:ascii="Courier New" w:hAnsi="Courier New" w:cs="Courier New"/>
          <w:color w:val="000000"/>
          <w:shd w:val="clear" w:color="auto" w:fill="FFFFFF"/>
        </w:rPr>
        <w:tab/>
      </w:r>
      <w:r w:rsidRPr="00EE772C">
        <w:rPr>
          <w:rFonts w:ascii="Daytona" w:hAnsi="Daytona" w:cs="Courier New"/>
          <w:color w:val="000000"/>
          <w:sz w:val="20"/>
          <w:szCs w:val="20"/>
          <w:shd w:val="clear" w:color="auto" w:fill="FFFFFF"/>
        </w:rPr>
        <w:t>“…</w:t>
      </w:r>
      <w:r w:rsidR="00673999" w:rsidRPr="00EE772C">
        <w:rPr>
          <w:rFonts w:ascii="Daytona" w:hAnsi="Daytona" w:cs="Courier New"/>
          <w:color w:val="000000"/>
          <w:sz w:val="20"/>
          <w:szCs w:val="20"/>
          <w:shd w:val="clear" w:color="auto" w:fill="FFFFFF"/>
        </w:rPr>
        <w:t xml:space="preserve">The factors ensuring that the compensation to a retail public utility is just and </w:t>
      </w:r>
      <w:r w:rsidR="00EE772C">
        <w:rPr>
          <w:rFonts w:ascii="Daytona" w:hAnsi="Daytona" w:cs="Courier New"/>
          <w:color w:val="000000"/>
          <w:sz w:val="20"/>
          <w:szCs w:val="20"/>
          <w:shd w:val="clear" w:color="auto" w:fill="FFFFFF"/>
        </w:rPr>
        <w:tab/>
      </w:r>
      <w:r w:rsidR="00673999" w:rsidRPr="00EE772C">
        <w:rPr>
          <w:rFonts w:ascii="Daytona" w:hAnsi="Daytona" w:cs="Courier New"/>
          <w:color w:val="000000"/>
          <w:sz w:val="20"/>
          <w:szCs w:val="20"/>
          <w:shd w:val="clear" w:color="auto" w:fill="FFFFFF"/>
        </w:rPr>
        <w:t xml:space="preserve">adequate </w:t>
      </w:r>
      <w:r w:rsidR="00673999" w:rsidRPr="00EE772C">
        <w:rPr>
          <w:rFonts w:ascii="Daytona" w:hAnsi="Daytona" w:cs="Courier New"/>
          <w:color w:val="000000"/>
          <w:sz w:val="20"/>
          <w:szCs w:val="20"/>
          <w:u w:val="single"/>
          <w:shd w:val="clear" w:color="auto" w:fill="FFFFFF"/>
        </w:rPr>
        <w:t>shall</w:t>
      </w:r>
      <w:r w:rsidR="00673999" w:rsidRPr="00EE772C">
        <w:rPr>
          <w:rFonts w:ascii="Daytona" w:hAnsi="Daytona" w:cs="Courier New"/>
          <w:color w:val="000000"/>
          <w:sz w:val="20"/>
          <w:szCs w:val="20"/>
          <w:shd w:val="clear" w:color="auto" w:fill="FFFFFF"/>
        </w:rPr>
        <w:t xml:space="preserve"> </w:t>
      </w:r>
      <w:proofErr w:type="gramStart"/>
      <w:r w:rsidR="00673999" w:rsidRPr="00EE772C">
        <w:rPr>
          <w:rFonts w:ascii="Daytona" w:hAnsi="Daytona" w:cs="Courier New"/>
          <w:color w:val="000000"/>
          <w:sz w:val="20"/>
          <w:szCs w:val="20"/>
          <w:u w:val="single"/>
          <w:shd w:val="clear" w:color="auto" w:fill="FFFFFF"/>
        </w:rPr>
        <w:t>include</w:t>
      </w:r>
      <w:r w:rsidR="00673999" w:rsidRPr="00EE772C">
        <w:rPr>
          <w:rFonts w:ascii="Daytona" w:hAnsi="Daytona" w:cs="Courier New"/>
          <w:color w:val="000000"/>
          <w:sz w:val="20"/>
          <w:szCs w:val="20"/>
          <w:shd w:val="clear" w:color="auto" w:fill="FFFFFF"/>
        </w:rPr>
        <w:t>:…</w:t>
      </w:r>
      <w:proofErr w:type="gramEnd"/>
      <w:r w:rsidR="00673999" w:rsidRPr="00EE772C">
        <w:rPr>
          <w:rFonts w:ascii="Daytona" w:hAnsi="Daytona" w:cs="Courier New"/>
          <w:color w:val="000000"/>
          <w:sz w:val="20"/>
          <w:szCs w:val="20"/>
          <w:shd w:val="clear" w:color="auto" w:fill="FFFFFF"/>
        </w:rPr>
        <w:t xml:space="preserve">; and </w:t>
      </w:r>
      <w:r w:rsidR="00673999" w:rsidRPr="00EE772C">
        <w:rPr>
          <w:rFonts w:ascii="Daytona" w:hAnsi="Daytona" w:cs="Courier New"/>
          <w:color w:val="000000"/>
          <w:sz w:val="20"/>
          <w:szCs w:val="20"/>
          <w:u w:val="single"/>
          <w:shd w:val="clear" w:color="auto" w:fill="FFFFFF"/>
        </w:rPr>
        <w:t>other</w:t>
      </w:r>
      <w:r w:rsidR="00673999" w:rsidRPr="00EE772C">
        <w:rPr>
          <w:rFonts w:ascii="Daytona" w:hAnsi="Daytona" w:cs="Courier New"/>
          <w:color w:val="000000"/>
          <w:sz w:val="20"/>
          <w:szCs w:val="20"/>
          <w:shd w:val="clear" w:color="auto" w:fill="FFFFFF"/>
        </w:rPr>
        <w:t xml:space="preserve"> </w:t>
      </w:r>
      <w:r w:rsidR="00673999" w:rsidRPr="00EE772C">
        <w:rPr>
          <w:rFonts w:ascii="Daytona" w:hAnsi="Daytona" w:cs="Courier New"/>
          <w:color w:val="000000"/>
          <w:sz w:val="20"/>
          <w:szCs w:val="20"/>
          <w:u w:val="single"/>
          <w:shd w:val="clear" w:color="auto" w:fill="FFFFFF"/>
        </w:rPr>
        <w:t>relevant</w:t>
      </w:r>
      <w:r w:rsidR="00673999" w:rsidRPr="00EE772C">
        <w:rPr>
          <w:rFonts w:ascii="Daytona" w:hAnsi="Daytona" w:cs="Courier New"/>
          <w:color w:val="000000"/>
          <w:sz w:val="20"/>
          <w:szCs w:val="20"/>
          <w:shd w:val="clear" w:color="auto" w:fill="FFFFFF"/>
        </w:rPr>
        <w:t xml:space="preserve"> </w:t>
      </w:r>
      <w:r w:rsidR="00673999" w:rsidRPr="00EE772C">
        <w:rPr>
          <w:rFonts w:ascii="Daytona" w:hAnsi="Daytona" w:cs="Courier New"/>
          <w:color w:val="000000"/>
          <w:sz w:val="20"/>
          <w:szCs w:val="20"/>
          <w:u w:val="single"/>
          <w:shd w:val="clear" w:color="auto" w:fill="FFFFFF"/>
        </w:rPr>
        <w:t>factors</w:t>
      </w:r>
      <w:r w:rsidR="00673999" w:rsidRPr="00EE772C">
        <w:rPr>
          <w:rFonts w:ascii="Daytona" w:hAnsi="Daytona" w:cs="Courier New"/>
          <w:color w:val="000000"/>
          <w:sz w:val="20"/>
          <w:szCs w:val="20"/>
          <w:shd w:val="clear" w:color="auto" w:fill="FFFFFF"/>
        </w:rPr>
        <w:t xml:space="preserve">”. The utility </w:t>
      </w:r>
      <w:r w:rsidR="00EE772C" w:rsidRPr="00EE772C">
        <w:rPr>
          <w:rFonts w:ascii="Daytona" w:hAnsi="Daytona" w:cs="Courier New"/>
          <w:color w:val="000000"/>
          <w:sz w:val="20"/>
          <w:szCs w:val="20"/>
          <w:shd w:val="clear" w:color="auto" w:fill="FFFFFF"/>
        </w:rPr>
        <w:t xml:space="preserve">commission shall </w:t>
      </w:r>
      <w:r w:rsidR="00EE772C">
        <w:rPr>
          <w:rFonts w:ascii="Daytona" w:hAnsi="Daytona" w:cs="Courier New"/>
          <w:color w:val="000000"/>
          <w:sz w:val="20"/>
          <w:szCs w:val="20"/>
          <w:shd w:val="clear" w:color="auto" w:fill="FFFFFF"/>
        </w:rPr>
        <w:tab/>
      </w:r>
      <w:r w:rsidR="00EE772C" w:rsidRPr="00EE772C">
        <w:rPr>
          <w:rFonts w:ascii="Daytona" w:hAnsi="Daytona" w:cs="Courier New"/>
          <w:color w:val="000000"/>
          <w:sz w:val="20"/>
          <w:szCs w:val="20"/>
          <w:shd w:val="clear" w:color="auto" w:fill="FFFFFF"/>
        </w:rPr>
        <w:t>adopt rules governing the evaluation of these factors.</w:t>
      </w:r>
      <w:r w:rsidR="00EE772C">
        <w:rPr>
          <w:rFonts w:ascii="Daytona" w:hAnsi="Daytona" w:cs="Courier New"/>
          <w:color w:val="000000"/>
          <w:sz w:val="20"/>
          <w:szCs w:val="20"/>
          <w:shd w:val="clear" w:color="auto" w:fill="FFFFFF"/>
        </w:rPr>
        <w:t xml:space="preserve"> (Emphasis supplied).</w:t>
      </w:r>
    </w:p>
    <w:p w14:paraId="2494B20E" w14:textId="5EFB507C" w:rsidR="00736EB6" w:rsidRDefault="00CB0B83" w:rsidP="00974224">
      <w:pPr>
        <w:rPr>
          <w:rFonts w:ascii="Daytona" w:hAnsi="Daytona" w:cs="Courier New"/>
          <w:color w:val="000000"/>
          <w:sz w:val="20"/>
          <w:szCs w:val="20"/>
          <w:shd w:val="clear" w:color="auto" w:fill="FFFFFF"/>
        </w:rPr>
      </w:pPr>
      <w:r>
        <w:rPr>
          <w:rFonts w:ascii="Daytona" w:hAnsi="Daytona" w:cs="Courier New"/>
          <w:color w:val="000000"/>
          <w:sz w:val="20"/>
          <w:szCs w:val="20"/>
          <w:shd w:val="clear" w:color="auto" w:fill="FFFFFF"/>
        </w:rPr>
        <w:tab/>
        <w:t xml:space="preserve">Thus, from the face of the statute it’s clear that (1) the enumerated factors are not exclusive, (2) the inclusion of </w:t>
      </w:r>
      <w:r w:rsidR="00BF0CD5">
        <w:rPr>
          <w:rFonts w:ascii="Daytona" w:hAnsi="Daytona" w:cs="Courier New"/>
          <w:color w:val="000000"/>
          <w:sz w:val="20"/>
          <w:szCs w:val="20"/>
          <w:shd w:val="clear" w:color="auto" w:fill="FFFFFF"/>
        </w:rPr>
        <w:t>the language “</w:t>
      </w:r>
      <w:r>
        <w:rPr>
          <w:rFonts w:ascii="Daytona" w:hAnsi="Daytona" w:cs="Courier New"/>
          <w:color w:val="000000"/>
          <w:sz w:val="20"/>
          <w:szCs w:val="20"/>
          <w:shd w:val="clear" w:color="auto" w:fill="FFFFFF"/>
        </w:rPr>
        <w:t>other relevant factors</w:t>
      </w:r>
      <w:r w:rsidR="00BF0CD5">
        <w:rPr>
          <w:rFonts w:ascii="Daytona" w:hAnsi="Daytona" w:cs="Courier New"/>
          <w:color w:val="000000"/>
          <w:sz w:val="20"/>
          <w:szCs w:val="20"/>
          <w:shd w:val="clear" w:color="auto" w:fill="FFFFFF"/>
        </w:rPr>
        <w:t>”</w:t>
      </w:r>
      <w:r>
        <w:rPr>
          <w:rFonts w:ascii="Daytona" w:hAnsi="Daytona" w:cs="Courier New"/>
          <w:color w:val="000000"/>
          <w:sz w:val="20"/>
          <w:szCs w:val="20"/>
          <w:shd w:val="clear" w:color="auto" w:fill="FFFFFF"/>
        </w:rPr>
        <w:t xml:space="preserve"> is </w:t>
      </w:r>
      <w:r w:rsidR="00BF0CD5">
        <w:rPr>
          <w:rFonts w:ascii="Daytona" w:hAnsi="Daytona" w:cs="Courier New"/>
          <w:color w:val="000000"/>
          <w:sz w:val="20"/>
          <w:szCs w:val="20"/>
          <w:shd w:val="clear" w:color="auto" w:fill="FFFFFF"/>
        </w:rPr>
        <w:t>clear from its plain meaning, (3) their consideration is mandatory, based on the use of “shall”</w:t>
      </w:r>
      <w:r>
        <w:rPr>
          <w:rFonts w:ascii="Daytona" w:hAnsi="Daytona" w:cs="Courier New"/>
          <w:color w:val="000000"/>
          <w:sz w:val="20"/>
          <w:szCs w:val="20"/>
          <w:shd w:val="clear" w:color="auto" w:fill="FFFFFF"/>
        </w:rPr>
        <w:t>, and (</w:t>
      </w:r>
      <w:r w:rsidR="00BF0CD5">
        <w:rPr>
          <w:rFonts w:ascii="Daytona" w:hAnsi="Daytona" w:cs="Courier New"/>
          <w:color w:val="000000"/>
          <w:sz w:val="20"/>
          <w:szCs w:val="20"/>
          <w:shd w:val="clear" w:color="auto" w:fill="FFFFFF"/>
        </w:rPr>
        <w:t>4</w:t>
      </w:r>
      <w:r>
        <w:rPr>
          <w:rFonts w:ascii="Daytona" w:hAnsi="Daytona" w:cs="Courier New"/>
          <w:color w:val="000000"/>
          <w:sz w:val="20"/>
          <w:szCs w:val="20"/>
          <w:shd w:val="clear" w:color="auto" w:fill="FFFFFF"/>
        </w:rPr>
        <w:t>) the commission may exercise discretion to determine what th</w:t>
      </w:r>
      <w:r w:rsidR="00BF0CD5">
        <w:rPr>
          <w:rFonts w:ascii="Daytona" w:hAnsi="Daytona" w:cs="Courier New"/>
          <w:color w:val="000000"/>
          <w:sz w:val="20"/>
          <w:szCs w:val="20"/>
          <w:shd w:val="clear" w:color="auto" w:fill="FFFFFF"/>
        </w:rPr>
        <w:t>ose factors</w:t>
      </w:r>
      <w:r>
        <w:rPr>
          <w:rFonts w:ascii="Daytona" w:hAnsi="Daytona" w:cs="Courier New"/>
          <w:color w:val="000000"/>
          <w:sz w:val="20"/>
          <w:szCs w:val="20"/>
          <w:shd w:val="clear" w:color="auto" w:fill="FFFFFF"/>
        </w:rPr>
        <w:t xml:space="preserve"> are.</w:t>
      </w:r>
    </w:p>
    <w:p w14:paraId="146A11B9" w14:textId="1059D683" w:rsidR="00BF0CD5" w:rsidRDefault="00736EB6" w:rsidP="00974224">
      <w:pPr>
        <w:rPr>
          <w:rFonts w:ascii="Daytona" w:hAnsi="Daytona" w:cs="Courier New"/>
          <w:color w:val="000000"/>
          <w:sz w:val="20"/>
          <w:szCs w:val="20"/>
          <w:shd w:val="clear" w:color="auto" w:fill="FFFFFF"/>
        </w:rPr>
      </w:pPr>
      <w:r>
        <w:rPr>
          <w:rFonts w:ascii="Daytona" w:hAnsi="Daytona" w:cs="Courier New"/>
          <w:color w:val="000000"/>
          <w:sz w:val="20"/>
          <w:szCs w:val="20"/>
          <w:shd w:val="clear" w:color="auto" w:fill="FFFFFF"/>
        </w:rPr>
        <w:tab/>
        <w:t>The Texas Supreme Court agrees.</w:t>
      </w:r>
      <w:r w:rsidR="007258FE">
        <w:rPr>
          <w:rFonts w:ascii="Daytona" w:hAnsi="Daytona" w:cs="Courier New"/>
          <w:color w:val="000000"/>
          <w:sz w:val="20"/>
          <w:szCs w:val="20"/>
          <w:shd w:val="clear" w:color="auto" w:fill="FFFFFF"/>
        </w:rPr>
        <w:t xml:space="preserve"> The word “includes” is a term of enlargement and not of limitation or exclusive enumeration”. </w:t>
      </w:r>
      <w:r w:rsidR="007258FE" w:rsidRPr="007258FE">
        <w:rPr>
          <w:rFonts w:ascii="Daytona" w:hAnsi="Daytona" w:cs="Courier New"/>
          <w:i/>
          <w:iCs/>
          <w:color w:val="000000"/>
          <w:sz w:val="20"/>
          <w:szCs w:val="20"/>
          <w:u w:val="single"/>
          <w:shd w:val="clear" w:color="auto" w:fill="FFFFFF"/>
        </w:rPr>
        <w:t>Entergy Gulf States, Inc. v. Summers</w:t>
      </w:r>
      <w:r w:rsidR="007258FE">
        <w:rPr>
          <w:rFonts w:ascii="Daytona" w:hAnsi="Daytona" w:cs="Courier New"/>
          <w:color w:val="000000"/>
          <w:sz w:val="20"/>
          <w:szCs w:val="20"/>
          <w:shd w:val="clear" w:color="auto" w:fill="FFFFFF"/>
        </w:rPr>
        <w:t xml:space="preserve">, </w:t>
      </w:r>
      <w:r w:rsidR="007258FE" w:rsidRPr="00A05A9E">
        <w:rPr>
          <w:rFonts w:ascii="Daytona" w:hAnsi="Daytona" w:cs="Courier New"/>
          <w:color w:val="000000"/>
          <w:sz w:val="20"/>
          <w:szCs w:val="20"/>
          <w:shd w:val="clear" w:color="auto" w:fill="FFFFFF"/>
        </w:rPr>
        <w:t>282 SW3d 433, 440-441(Tex. Sup. 2009).</w:t>
      </w:r>
      <w:r w:rsidR="00BF0CD5" w:rsidRPr="00A05A9E">
        <w:rPr>
          <w:rFonts w:ascii="Daytona" w:hAnsi="Daytona" w:cs="Courier New"/>
          <w:color w:val="000000"/>
          <w:sz w:val="20"/>
          <w:szCs w:val="20"/>
          <w:shd w:val="clear" w:color="auto" w:fill="FFFFFF"/>
        </w:rPr>
        <w:t xml:space="preserve"> </w:t>
      </w:r>
    </w:p>
    <w:p w14:paraId="61871FCD" w14:textId="738B538C" w:rsidR="00903D17" w:rsidRDefault="00903D17" w:rsidP="00974224">
      <w:pPr>
        <w:rPr>
          <w:rFonts w:ascii="Daytona" w:hAnsi="Daytona" w:cs="Courier New"/>
          <w:color w:val="000000"/>
          <w:sz w:val="20"/>
          <w:szCs w:val="20"/>
          <w:shd w:val="clear" w:color="auto" w:fill="FFFFFF"/>
        </w:rPr>
      </w:pPr>
      <w:r>
        <w:rPr>
          <w:rFonts w:ascii="Daytona" w:hAnsi="Daytona" w:cs="Courier New"/>
          <w:color w:val="000000"/>
          <w:sz w:val="20"/>
          <w:szCs w:val="20"/>
          <w:shd w:val="clear" w:color="auto" w:fill="FFFFFF"/>
        </w:rPr>
        <w:tab/>
        <w:t xml:space="preserve">At the outset, it’s clear that the </w:t>
      </w:r>
      <w:r w:rsidR="00607FE7">
        <w:rPr>
          <w:rFonts w:ascii="Daytona" w:hAnsi="Daytona" w:cs="Courier New"/>
          <w:color w:val="000000"/>
          <w:sz w:val="20"/>
          <w:szCs w:val="20"/>
          <w:shd w:val="clear" w:color="auto" w:fill="FFFFFF"/>
        </w:rPr>
        <w:t xml:space="preserve">Texas Legislature recognized that factors </w:t>
      </w:r>
      <w:r w:rsidR="00607FE7" w:rsidRPr="00107F2C">
        <w:rPr>
          <w:rFonts w:ascii="Daytona" w:hAnsi="Daytona" w:cs="Courier New"/>
          <w:color w:val="000000"/>
          <w:sz w:val="20"/>
          <w:szCs w:val="20"/>
          <w:u w:val="single"/>
          <w:shd w:val="clear" w:color="auto" w:fill="FFFFFF"/>
        </w:rPr>
        <w:t>other</w:t>
      </w:r>
      <w:r w:rsidR="00607FE7">
        <w:rPr>
          <w:rFonts w:ascii="Daytona" w:hAnsi="Daytona" w:cs="Courier New"/>
          <w:color w:val="000000"/>
          <w:sz w:val="20"/>
          <w:szCs w:val="20"/>
          <w:shd w:val="clear" w:color="auto" w:fill="FFFFFF"/>
        </w:rPr>
        <w:t xml:space="preserve"> than those enumerated in Section 254(g) could affect compensation value. Accordingly, it used mandatory language to require their consideration. In contrast, the Owners argue that HMW’s appraisal must be dismissed because it does not directly discuss less relevant factors and instead focuses on factors not enumerated that </w:t>
      </w:r>
      <w:r w:rsidR="003764CE">
        <w:rPr>
          <w:rFonts w:ascii="Daytona" w:hAnsi="Daytona" w:cs="Courier New"/>
          <w:color w:val="000000"/>
          <w:sz w:val="20"/>
          <w:szCs w:val="20"/>
          <w:shd w:val="clear" w:color="auto" w:fill="FFFFFF"/>
        </w:rPr>
        <w:t xml:space="preserve">are more significant. </w:t>
      </w:r>
    </w:p>
    <w:p w14:paraId="57B30B0B" w14:textId="6A931102" w:rsidR="003764CE" w:rsidRDefault="003764CE" w:rsidP="00974224">
      <w:pPr>
        <w:rPr>
          <w:rFonts w:ascii="Daytona" w:hAnsi="Daytona" w:cs="Courier New"/>
          <w:color w:val="000000"/>
          <w:sz w:val="20"/>
          <w:szCs w:val="20"/>
          <w:shd w:val="clear" w:color="auto" w:fill="FFFFFF"/>
        </w:rPr>
      </w:pPr>
      <w:r>
        <w:rPr>
          <w:rFonts w:ascii="Daytona" w:hAnsi="Daytona" w:cs="Courier New"/>
          <w:color w:val="000000"/>
          <w:sz w:val="20"/>
          <w:szCs w:val="20"/>
          <w:shd w:val="clear" w:color="auto" w:fill="FFFFFF"/>
        </w:rPr>
        <w:lastRenderedPageBreak/>
        <w:tab/>
        <w:t xml:space="preserve">Thus, the Owners’ approach would ignore the mandate of the statute to consider any relevant factors because, in their view, HMW allegedly failed to comply with </w:t>
      </w:r>
      <w:r w:rsidR="00107F2C">
        <w:rPr>
          <w:rFonts w:ascii="Daytona" w:hAnsi="Daytona" w:cs="Courier New"/>
          <w:color w:val="000000"/>
          <w:sz w:val="20"/>
          <w:szCs w:val="20"/>
          <w:shd w:val="clear" w:color="auto" w:fill="FFFFFF"/>
        </w:rPr>
        <w:t>the Owners’</w:t>
      </w:r>
      <w:r>
        <w:rPr>
          <w:rFonts w:ascii="Daytona" w:hAnsi="Daytona" w:cs="Courier New"/>
          <w:color w:val="000000"/>
          <w:sz w:val="20"/>
          <w:szCs w:val="20"/>
          <w:shd w:val="clear" w:color="auto" w:fill="FFFFFF"/>
        </w:rPr>
        <w:t xml:space="preserve"> imaginary requirement to discuss the enumerated factors.</w:t>
      </w:r>
    </w:p>
    <w:p w14:paraId="5360C031" w14:textId="27007A28" w:rsidR="00BB4EFC" w:rsidRDefault="00BB4EFC" w:rsidP="00974224">
      <w:pPr>
        <w:rPr>
          <w:rFonts w:ascii="Daytona" w:hAnsi="Daytona" w:cs="Courier New"/>
          <w:color w:val="000000"/>
          <w:sz w:val="20"/>
          <w:szCs w:val="20"/>
          <w:shd w:val="clear" w:color="auto" w:fill="FFFFFF"/>
        </w:rPr>
      </w:pPr>
      <w:r>
        <w:rPr>
          <w:rFonts w:ascii="Daytona" w:hAnsi="Daytona" w:cs="Courier New"/>
          <w:color w:val="000000"/>
          <w:sz w:val="20"/>
          <w:szCs w:val="20"/>
          <w:shd w:val="clear" w:color="auto" w:fill="FFFFFF"/>
        </w:rPr>
        <w:tab/>
        <w:t xml:space="preserve">In addition, no language in Section 254(g) or in PUC Rule 245(j)(2), the rule governing consideration of the </w:t>
      </w:r>
      <w:r w:rsidR="00BB48D7">
        <w:rPr>
          <w:rFonts w:ascii="Daytona" w:hAnsi="Daytona" w:cs="Courier New"/>
          <w:color w:val="000000"/>
          <w:sz w:val="20"/>
          <w:szCs w:val="20"/>
          <w:shd w:val="clear" w:color="auto" w:fill="FFFFFF"/>
        </w:rPr>
        <w:t>“</w:t>
      </w:r>
      <w:r>
        <w:rPr>
          <w:rFonts w:ascii="Daytona" w:hAnsi="Daytona" w:cs="Courier New"/>
          <w:color w:val="000000"/>
          <w:sz w:val="20"/>
          <w:szCs w:val="20"/>
          <w:shd w:val="clear" w:color="auto" w:fill="FFFFFF"/>
        </w:rPr>
        <w:t xml:space="preserve">relevant </w:t>
      </w:r>
      <w:r w:rsidR="00BB48D7">
        <w:rPr>
          <w:rFonts w:ascii="Daytona" w:hAnsi="Daytona" w:cs="Courier New"/>
          <w:color w:val="000000"/>
          <w:sz w:val="20"/>
          <w:szCs w:val="20"/>
          <w:shd w:val="clear" w:color="auto" w:fill="FFFFFF"/>
        </w:rPr>
        <w:t>factors”</w:t>
      </w:r>
      <w:r w:rsidR="00107F2C">
        <w:rPr>
          <w:rFonts w:ascii="Daytona" w:hAnsi="Daytona" w:cs="Courier New"/>
          <w:color w:val="000000"/>
          <w:sz w:val="20"/>
          <w:szCs w:val="20"/>
          <w:shd w:val="clear" w:color="auto" w:fill="FFFFFF"/>
        </w:rPr>
        <w:t>,</w:t>
      </w:r>
      <w:r w:rsidR="00BB48D7">
        <w:rPr>
          <w:rFonts w:ascii="Daytona" w:hAnsi="Daytona" w:cs="Courier New"/>
          <w:color w:val="000000"/>
          <w:sz w:val="20"/>
          <w:szCs w:val="20"/>
          <w:shd w:val="clear" w:color="auto" w:fill="FFFFFF"/>
        </w:rPr>
        <w:t xml:space="preserve"> </w:t>
      </w:r>
      <w:r>
        <w:rPr>
          <w:rFonts w:ascii="Daytona" w:hAnsi="Daytona" w:cs="Courier New"/>
          <w:color w:val="000000"/>
          <w:sz w:val="20"/>
          <w:szCs w:val="20"/>
          <w:shd w:val="clear" w:color="auto" w:fill="FFFFFF"/>
        </w:rPr>
        <w:t xml:space="preserve">requires </w:t>
      </w:r>
      <w:r w:rsidR="00BB48D7">
        <w:rPr>
          <w:rFonts w:ascii="Daytona" w:hAnsi="Daytona" w:cs="Courier New"/>
          <w:color w:val="000000"/>
          <w:sz w:val="20"/>
          <w:szCs w:val="20"/>
          <w:shd w:val="clear" w:color="auto" w:fill="FFFFFF"/>
        </w:rPr>
        <w:t>that HMW’s appraisal consider all or any of the enumerated factors in Section 254(g). Among other issues, enforcing such a requirement now, merely because the Owners prefer it, is both contrary to law and applying a hitherto unknown requirement without notice to HMW and other holders</w:t>
      </w:r>
      <w:r w:rsidR="00D062F9">
        <w:rPr>
          <w:rFonts w:ascii="Daytona" w:hAnsi="Daytona" w:cs="Courier New"/>
          <w:color w:val="000000"/>
          <w:sz w:val="20"/>
          <w:szCs w:val="20"/>
          <w:shd w:val="clear" w:color="auto" w:fill="FFFFFF"/>
        </w:rPr>
        <w:t xml:space="preserve"> </w:t>
      </w:r>
      <w:r w:rsidR="00BB48D7">
        <w:rPr>
          <w:rFonts w:ascii="Daytona" w:hAnsi="Daytona" w:cs="Courier New"/>
          <w:color w:val="000000"/>
          <w:sz w:val="20"/>
          <w:szCs w:val="20"/>
          <w:shd w:val="clear" w:color="auto" w:fill="FFFFFF"/>
        </w:rPr>
        <w:t xml:space="preserve">of </w:t>
      </w:r>
      <w:r w:rsidR="00D062F9">
        <w:rPr>
          <w:rFonts w:ascii="Daytona" w:hAnsi="Daytona" w:cs="Courier New"/>
          <w:color w:val="000000"/>
          <w:sz w:val="20"/>
          <w:szCs w:val="20"/>
          <w:shd w:val="clear" w:color="auto" w:fill="FFFFFF"/>
        </w:rPr>
        <w:t xml:space="preserve">a </w:t>
      </w:r>
      <w:r w:rsidR="00BB48D7">
        <w:rPr>
          <w:rFonts w:ascii="Daytona" w:hAnsi="Daytona" w:cs="Courier New"/>
          <w:color w:val="000000"/>
          <w:sz w:val="20"/>
          <w:szCs w:val="20"/>
          <w:shd w:val="clear" w:color="auto" w:fill="FFFFFF"/>
        </w:rPr>
        <w:t>Certificate of Convenience and Necessity</w:t>
      </w:r>
      <w:r w:rsidR="00D062F9">
        <w:rPr>
          <w:rFonts w:ascii="Daytona" w:hAnsi="Daytona" w:cs="Courier New"/>
          <w:color w:val="000000"/>
          <w:sz w:val="20"/>
          <w:szCs w:val="20"/>
          <w:shd w:val="clear" w:color="auto" w:fill="FFFFFF"/>
        </w:rPr>
        <w:t>(“CCN”)</w:t>
      </w:r>
      <w:r w:rsidR="00BB48D7">
        <w:rPr>
          <w:rFonts w:ascii="Daytona" w:hAnsi="Daytona" w:cs="Courier New"/>
          <w:color w:val="000000"/>
          <w:sz w:val="20"/>
          <w:szCs w:val="20"/>
          <w:shd w:val="clear" w:color="auto" w:fill="FFFFFF"/>
        </w:rPr>
        <w:t xml:space="preserve">. </w:t>
      </w:r>
    </w:p>
    <w:p w14:paraId="788DF4F2" w14:textId="1634ED94" w:rsidR="00D062F9" w:rsidRPr="00A05A9E" w:rsidRDefault="00D062F9" w:rsidP="00974224">
      <w:pPr>
        <w:rPr>
          <w:rFonts w:ascii="Daytona" w:hAnsi="Daytona" w:cs="Courier New"/>
          <w:color w:val="000000"/>
          <w:sz w:val="20"/>
          <w:szCs w:val="20"/>
          <w:shd w:val="clear" w:color="auto" w:fill="FFFFFF"/>
        </w:rPr>
      </w:pPr>
      <w:r>
        <w:rPr>
          <w:rFonts w:ascii="Daytona" w:hAnsi="Daytona" w:cs="Courier New"/>
          <w:color w:val="000000"/>
          <w:sz w:val="20"/>
          <w:szCs w:val="20"/>
          <w:shd w:val="clear" w:color="auto" w:fill="FFFFFF"/>
        </w:rPr>
        <w:tab/>
        <w:t xml:space="preserve">The fact is that the Owners want to avoid the clearly relevant debate about the true value of a CCN, and by extension the amount of compensation owed to HMW if its CCN is fully or partially taken. They know perfectly well that </w:t>
      </w:r>
      <w:r w:rsidR="00107F2C">
        <w:rPr>
          <w:rFonts w:ascii="Daytona" w:hAnsi="Daytona" w:cs="Courier New"/>
          <w:color w:val="000000"/>
          <w:sz w:val="20"/>
          <w:szCs w:val="20"/>
          <w:shd w:val="clear" w:color="auto" w:fill="FFFFFF"/>
        </w:rPr>
        <w:t>their</w:t>
      </w:r>
      <w:r>
        <w:rPr>
          <w:rFonts w:ascii="Daytona" w:hAnsi="Daytona" w:cs="Courier New"/>
          <w:color w:val="000000"/>
          <w:sz w:val="20"/>
          <w:szCs w:val="20"/>
          <w:shd w:val="clear" w:color="auto" w:fill="FFFFFF"/>
        </w:rPr>
        <w:t xml:space="preserve"> valuation </w:t>
      </w:r>
      <w:r w:rsidR="00107F2C">
        <w:rPr>
          <w:rFonts w:ascii="Daytona" w:hAnsi="Daytona" w:cs="Courier New"/>
          <w:color w:val="000000"/>
          <w:sz w:val="20"/>
          <w:szCs w:val="20"/>
          <w:shd w:val="clear" w:color="auto" w:fill="FFFFFF"/>
        </w:rPr>
        <w:t>of</w:t>
      </w:r>
      <w:r>
        <w:rPr>
          <w:rFonts w:ascii="Daytona" w:hAnsi="Daytona" w:cs="Courier New"/>
          <w:color w:val="000000"/>
          <w:sz w:val="20"/>
          <w:szCs w:val="20"/>
          <w:shd w:val="clear" w:color="auto" w:fill="FFFFFF"/>
        </w:rPr>
        <w:t xml:space="preserve"> a few hundred dollars is ridiculously low and without any relationship</w:t>
      </w:r>
      <w:r w:rsidR="00B03631">
        <w:rPr>
          <w:rFonts w:ascii="Daytona" w:hAnsi="Daytona" w:cs="Courier New"/>
          <w:color w:val="000000"/>
          <w:sz w:val="20"/>
          <w:szCs w:val="20"/>
          <w:shd w:val="clear" w:color="auto" w:fill="FFFFFF"/>
        </w:rPr>
        <w:t xml:space="preserve"> to reality. They rightly fear that any independent appraisal will acknowledge </w:t>
      </w:r>
      <w:r w:rsidR="00C61813">
        <w:rPr>
          <w:rFonts w:ascii="Daytona" w:hAnsi="Daytona" w:cs="Courier New"/>
          <w:color w:val="000000"/>
          <w:sz w:val="20"/>
          <w:szCs w:val="20"/>
          <w:shd w:val="clear" w:color="auto" w:fill="FFFFFF"/>
        </w:rPr>
        <w:t xml:space="preserve">the true value of to HMW of the property proposed to be decertified. </w:t>
      </w:r>
      <w:r w:rsidR="00B03631">
        <w:rPr>
          <w:rFonts w:ascii="Daytona" w:hAnsi="Daytona" w:cs="Courier New"/>
          <w:color w:val="000000"/>
          <w:sz w:val="20"/>
          <w:szCs w:val="20"/>
          <w:shd w:val="clear" w:color="auto" w:fill="FFFFFF"/>
        </w:rPr>
        <w:t>Instead, they want to have that value for themselves through plans to develop their property without bothering to fairly compensate HMW as the law requires.</w:t>
      </w:r>
    </w:p>
    <w:p w14:paraId="6C51552B" w14:textId="48EE1426" w:rsidR="00E916D6" w:rsidRDefault="00BF0CD5" w:rsidP="00E916D6">
      <w:pPr>
        <w:pStyle w:val="NoSpacing"/>
        <w:rPr>
          <w:shd w:val="clear" w:color="auto" w:fill="FFFFFF"/>
        </w:rPr>
      </w:pPr>
      <w:r>
        <w:rPr>
          <w:shd w:val="clear" w:color="auto" w:fill="FFFFFF"/>
        </w:rPr>
        <w:tab/>
      </w:r>
      <w:r>
        <w:rPr>
          <w:shd w:val="clear" w:color="auto" w:fill="FFFFFF"/>
        </w:rPr>
        <w:tab/>
      </w:r>
      <w:r>
        <w:rPr>
          <w:shd w:val="clear" w:color="auto" w:fill="FFFFFF"/>
        </w:rPr>
        <w:tab/>
      </w:r>
      <w:r>
        <w:rPr>
          <w:shd w:val="clear" w:color="auto" w:fill="FFFFFF"/>
        </w:rPr>
        <w:tab/>
      </w:r>
      <w:r>
        <w:rPr>
          <w:shd w:val="clear" w:color="auto" w:fill="FFFFFF"/>
        </w:rPr>
        <w:tab/>
      </w:r>
      <w:r>
        <w:rPr>
          <w:shd w:val="clear" w:color="auto" w:fill="FFFFFF"/>
        </w:rPr>
        <w:tab/>
        <w:t>II.</w:t>
      </w:r>
    </w:p>
    <w:p w14:paraId="06E4F2CE" w14:textId="4FF45AEF" w:rsidR="00E916D6" w:rsidRDefault="00BA6D22" w:rsidP="00E916D6">
      <w:pPr>
        <w:pStyle w:val="NoSpacing"/>
        <w:rPr>
          <w:shd w:val="clear" w:color="auto" w:fill="FFFFFF"/>
        </w:rPr>
      </w:pPr>
      <w:r w:rsidRPr="00EE772C">
        <w:rPr>
          <w:shd w:val="clear" w:color="auto" w:fill="FFFFFF"/>
        </w:rPr>
        <w:tab/>
      </w:r>
    </w:p>
    <w:p w14:paraId="671692F2" w14:textId="5931EDD0" w:rsidR="00E47815" w:rsidRDefault="00E916D6" w:rsidP="00E916D6">
      <w:pPr>
        <w:pStyle w:val="NoSpacing"/>
      </w:pPr>
      <w:r>
        <w:rPr>
          <w:shd w:val="clear" w:color="auto" w:fill="FFFFFF"/>
        </w:rPr>
        <w:tab/>
      </w:r>
      <w:r>
        <w:t xml:space="preserve">Further, the pertinent PUC rules </w:t>
      </w:r>
      <w:r w:rsidR="00137586">
        <w:t>share</w:t>
      </w:r>
      <w:r>
        <w:t xml:space="preserve"> the conclusion</w:t>
      </w:r>
      <w:r w:rsidR="00C61813">
        <w:t xml:space="preserve"> reached by HMW</w:t>
      </w:r>
      <w:r>
        <w:t xml:space="preserve">, meaning the PUC may determine </w:t>
      </w:r>
      <w:r w:rsidR="00130BCB">
        <w:t xml:space="preserve">the “other relevant factors” for </w:t>
      </w:r>
      <w:r w:rsidR="006D20C0">
        <w:t xml:space="preserve">compensation </w:t>
      </w:r>
      <w:r w:rsidR="00130BCB">
        <w:t>valuation purposes. See PUC Rule 24.245(j)(2).</w:t>
      </w:r>
    </w:p>
    <w:p w14:paraId="3FDDD0AC" w14:textId="77777777" w:rsidR="00130BCB" w:rsidRDefault="00130BCB" w:rsidP="00E916D6">
      <w:pPr>
        <w:pStyle w:val="NoSpacing"/>
      </w:pPr>
    </w:p>
    <w:p w14:paraId="2F9E0771" w14:textId="1001F8EF" w:rsidR="006D20C0" w:rsidRDefault="00130BCB" w:rsidP="00E916D6">
      <w:pPr>
        <w:pStyle w:val="NoSpacing"/>
      </w:pPr>
      <w:r>
        <w:tab/>
        <w:t xml:space="preserve">The PUC Rules further provide for the resolution of the </w:t>
      </w:r>
      <w:r w:rsidR="006D20C0">
        <w:t>compensation issue by a PUC-appointed appraiser, consistent with the requirements of the statute.</w:t>
      </w:r>
    </w:p>
    <w:p w14:paraId="36B7AF08" w14:textId="3FC2A750" w:rsidR="00E47815" w:rsidRDefault="00E47815" w:rsidP="00E916D6">
      <w:pPr>
        <w:pStyle w:val="NoSpacing"/>
      </w:pPr>
    </w:p>
    <w:p w14:paraId="29998700" w14:textId="6FED2201" w:rsidR="00E47815" w:rsidRDefault="00E47815" w:rsidP="00E916D6">
      <w:pPr>
        <w:pStyle w:val="NoSpacing"/>
      </w:pPr>
      <w:r>
        <w:tab/>
        <w:t xml:space="preserve">Among other </w:t>
      </w:r>
      <w:r w:rsidR="00137586">
        <w:t xml:space="preserve">factors </w:t>
      </w:r>
      <w:r w:rsidR="00A05A9E">
        <w:t xml:space="preserve">that </w:t>
      </w:r>
      <w:r>
        <w:t>it may determine, the PUC</w:t>
      </w:r>
      <w:r w:rsidR="00A05A9E">
        <w:t xml:space="preserve"> and its </w:t>
      </w:r>
      <w:r>
        <w:t>appraiser should consider the following</w:t>
      </w:r>
      <w:r w:rsidR="00A05A9E">
        <w:t xml:space="preserve"> factors</w:t>
      </w:r>
      <w:r>
        <w:t>:</w:t>
      </w:r>
    </w:p>
    <w:p w14:paraId="2AB8A5B3" w14:textId="08B99D7F" w:rsidR="00E47815" w:rsidRDefault="00E47815" w:rsidP="00E916D6">
      <w:pPr>
        <w:pStyle w:val="NoSpacing"/>
      </w:pPr>
    </w:p>
    <w:p w14:paraId="0CC0A163" w14:textId="741DA178" w:rsidR="00E47815" w:rsidRDefault="00E47815" w:rsidP="00E47815">
      <w:pPr>
        <w:pStyle w:val="NoSpacing"/>
        <w:numPr>
          <w:ilvl w:val="0"/>
          <w:numId w:val="3"/>
        </w:numPr>
      </w:pPr>
      <w:r>
        <w:t>The methodology of both appraisal reports</w:t>
      </w:r>
      <w:r w:rsidR="00B5345B">
        <w:t>.</w:t>
      </w:r>
    </w:p>
    <w:p w14:paraId="24780625" w14:textId="2B907CA7" w:rsidR="00E47815" w:rsidRDefault="00E47815" w:rsidP="00E47815">
      <w:pPr>
        <w:pStyle w:val="NoSpacing"/>
        <w:ind w:left="1080"/>
      </w:pPr>
    </w:p>
    <w:p w14:paraId="610AE9E2" w14:textId="7734326C" w:rsidR="00E47815" w:rsidRDefault="00E47815" w:rsidP="00E47815">
      <w:pPr>
        <w:pStyle w:val="NoSpacing"/>
        <w:numPr>
          <w:ilvl w:val="0"/>
          <w:numId w:val="3"/>
        </w:numPr>
      </w:pPr>
      <w:r>
        <w:t>The commonsense assessment that all or any portion of a</w:t>
      </w:r>
      <w:r w:rsidR="00FB76CF">
        <w:t xml:space="preserve"> </w:t>
      </w:r>
      <w:r w:rsidR="00C61813">
        <w:t xml:space="preserve">CCN </w:t>
      </w:r>
      <w:r w:rsidR="00FB76CF">
        <w:t>is an asset containing value</w:t>
      </w:r>
      <w:r w:rsidR="00B5345B">
        <w:t xml:space="preserve">. </w:t>
      </w:r>
      <w:r w:rsidR="00903D17">
        <w:t xml:space="preserve">Section 254(g) </w:t>
      </w:r>
      <w:r w:rsidR="00137586">
        <w:t xml:space="preserve">plainly </w:t>
      </w:r>
      <w:r w:rsidR="00903D17">
        <w:t>embraces that concept, but</w:t>
      </w:r>
      <w:r w:rsidR="00C61813">
        <w:t xml:space="preserve"> the Owners do not accept </w:t>
      </w:r>
      <w:r w:rsidR="00903D17">
        <w:t xml:space="preserve">it. </w:t>
      </w:r>
      <w:r w:rsidR="00B5345B">
        <w:t xml:space="preserve"> </w:t>
      </w:r>
      <w:r w:rsidR="00903D17">
        <w:t xml:space="preserve">This </w:t>
      </w:r>
      <w:r w:rsidR="00B5345B">
        <w:t>is the underlying reason for this dispute.</w:t>
      </w:r>
      <w:r w:rsidR="00FB76CF">
        <w:t xml:space="preserve"> </w:t>
      </w:r>
    </w:p>
    <w:p w14:paraId="0F210063" w14:textId="4BB05F71" w:rsidR="00FB76CF" w:rsidRDefault="00FB76CF" w:rsidP="00FB76CF">
      <w:pPr>
        <w:pStyle w:val="NoSpacing"/>
        <w:ind w:left="1080"/>
      </w:pPr>
    </w:p>
    <w:p w14:paraId="189DBB82" w14:textId="13263C5C" w:rsidR="00A05A9E" w:rsidRDefault="00FB76CF" w:rsidP="00FB76CF">
      <w:pPr>
        <w:pStyle w:val="NoSpacing"/>
        <w:numPr>
          <w:ilvl w:val="0"/>
          <w:numId w:val="3"/>
        </w:numPr>
      </w:pPr>
      <w:r>
        <w:t xml:space="preserve">The fact that in this instance, existing HMW facilities are </w:t>
      </w:r>
      <w:r w:rsidR="00A05A9E">
        <w:t>closer to the property than those of any other retail water provider</w:t>
      </w:r>
      <w:r w:rsidR="00B5345B">
        <w:t>.</w:t>
      </w:r>
      <w:r w:rsidR="00A05A9E">
        <w:t xml:space="preserve"> </w:t>
      </w:r>
    </w:p>
    <w:p w14:paraId="42FDBEAB" w14:textId="77777777" w:rsidR="00A05A9E" w:rsidRDefault="00A05A9E" w:rsidP="00A05A9E">
      <w:pPr>
        <w:pStyle w:val="NoSpacing"/>
        <w:ind w:left="1080"/>
      </w:pPr>
    </w:p>
    <w:p w14:paraId="484A533C" w14:textId="7982BDCC" w:rsidR="00FB76CF" w:rsidRDefault="00137586" w:rsidP="00A05A9E">
      <w:pPr>
        <w:pStyle w:val="NoSpacing"/>
        <w:numPr>
          <w:ilvl w:val="0"/>
          <w:numId w:val="3"/>
        </w:numPr>
      </w:pPr>
      <w:r>
        <w:t>The fact that</w:t>
      </w:r>
      <w:r w:rsidR="00B5345B">
        <w:t xml:space="preserve"> </w:t>
      </w:r>
      <w:proofErr w:type="gramStart"/>
      <w:r w:rsidR="00B5345B">
        <w:t>in the near future</w:t>
      </w:r>
      <w:proofErr w:type="gramEnd"/>
      <w:r w:rsidR="00B5345B">
        <w:t xml:space="preserve"> a </w:t>
      </w:r>
      <w:r w:rsidR="00E20127">
        <w:t xml:space="preserve">retail water provider will supply water to the property, </w:t>
      </w:r>
      <w:r w:rsidR="00B5345B">
        <w:t xml:space="preserve">as developed, </w:t>
      </w:r>
      <w:r w:rsidR="00E20127">
        <w:t>probably for years to come.</w:t>
      </w:r>
      <w:r w:rsidR="00FB76CF">
        <w:t xml:space="preserve"> </w:t>
      </w:r>
      <w:r>
        <w:t xml:space="preserve">That provider will generate earnings based on its ability to meet the needs of future customers </w:t>
      </w:r>
      <w:r w:rsidR="00FC59A0">
        <w:t xml:space="preserve">residing </w:t>
      </w:r>
      <w:r>
        <w:t xml:space="preserve">on a then-developed property. </w:t>
      </w:r>
      <w:r w:rsidR="00E20127">
        <w:t>If th</w:t>
      </w:r>
      <w:r w:rsidR="00B5345B">
        <w:t>e provider</w:t>
      </w:r>
      <w:r w:rsidR="00E20127">
        <w:t xml:space="preserve"> is not HMW, the true value of compensation will the present value assessment of </w:t>
      </w:r>
      <w:r w:rsidR="00B5345B">
        <w:t>that provider’s estimated net income.</w:t>
      </w:r>
    </w:p>
    <w:p w14:paraId="61F024E5" w14:textId="46A7D4DD" w:rsidR="00C26900" w:rsidRDefault="00E916D6" w:rsidP="00E916D6">
      <w:pPr>
        <w:pStyle w:val="NoSpacing"/>
      </w:pPr>
      <w:r>
        <w:t xml:space="preserve"> </w:t>
      </w:r>
    </w:p>
    <w:p w14:paraId="1527ED43" w14:textId="22757B25" w:rsidR="002B3F78" w:rsidRDefault="00C26900" w:rsidP="001A5455">
      <w:pPr>
        <w:spacing w:after="0" w:line="240" w:lineRule="auto"/>
      </w:pPr>
      <w:r>
        <w:lastRenderedPageBreak/>
        <w:tab/>
        <w:t xml:space="preserve">Wherefore, premises considered, </w:t>
      </w:r>
      <w:r w:rsidR="006D20C0">
        <w:t xml:space="preserve">no action should be taken on the Owners’ complaints, </w:t>
      </w:r>
      <w:r w:rsidR="004E2EE4">
        <w:t>the PUC</w:t>
      </w:r>
      <w:r>
        <w:t xml:space="preserve"> should </w:t>
      </w:r>
      <w:r w:rsidR="006D20C0">
        <w:t xml:space="preserve">proceed on the determination of compensation as provided by law, and </w:t>
      </w:r>
      <w:r w:rsidR="004E2EE4">
        <w:t xml:space="preserve">such </w:t>
      </w:r>
      <w:r>
        <w:t xml:space="preserve">other </w:t>
      </w:r>
      <w:r w:rsidR="004E2EE4">
        <w:t xml:space="preserve">and further </w:t>
      </w:r>
      <w:r>
        <w:t>relief as the PUC deems just.</w:t>
      </w:r>
    </w:p>
    <w:p w14:paraId="1A6BDA50" w14:textId="77777777" w:rsidR="006D20C0" w:rsidRDefault="006D20C0" w:rsidP="001A5455">
      <w:pPr>
        <w:spacing w:after="0" w:line="240" w:lineRule="auto"/>
      </w:pPr>
    </w:p>
    <w:p w14:paraId="16C6FBF0" w14:textId="7827722B" w:rsidR="00325BE8" w:rsidRDefault="00325BE8" w:rsidP="00DA2A12">
      <w:pPr>
        <w:ind w:left="4320" w:firstLine="720"/>
      </w:pPr>
      <w:r>
        <w:t>Respectfully submitted,</w:t>
      </w:r>
    </w:p>
    <w:p w14:paraId="675B8F27" w14:textId="21C9A7CD" w:rsidR="00325BE8" w:rsidRDefault="00325BE8" w:rsidP="000562DD">
      <w:r>
        <w:tab/>
      </w:r>
      <w:r>
        <w:tab/>
      </w:r>
      <w:r>
        <w:tab/>
      </w:r>
      <w:r>
        <w:tab/>
      </w:r>
      <w:r>
        <w:tab/>
      </w:r>
      <w:r>
        <w:tab/>
      </w:r>
      <w:r>
        <w:tab/>
        <w:t>Law Offices of Patrick F. Timmons, Jr., P.C.</w:t>
      </w:r>
    </w:p>
    <w:p w14:paraId="7135A686" w14:textId="39E133A2" w:rsidR="00325BE8" w:rsidRPr="00114154" w:rsidRDefault="00325BE8" w:rsidP="000562DD">
      <w:pPr>
        <w:rPr>
          <w:b/>
          <w:bCs/>
          <w:i/>
          <w:iCs/>
        </w:rPr>
      </w:pPr>
      <w:r>
        <w:tab/>
      </w:r>
      <w:r>
        <w:tab/>
      </w:r>
      <w:r>
        <w:tab/>
      </w:r>
      <w:r>
        <w:tab/>
      </w:r>
      <w:r>
        <w:tab/>
      </w:r>
      <w:r>
        <w:tab/>
      </w:r>
      <w:r>
        <w:tab/>
      </w:r>
      <w:r w:rsidR="006D20C0">
        <w:t>/s/</w:t>
      </w:r>
    </w:p>
    <w:p w14:paraId="0EF30976" w14:textId="77777777" w:rsidR="00325BE8" w:rsidRDefault="00325BE8" w:rsidP="00944243">
      <w:pPr>
        <w:spacing w:after="0"/>
      </w:pPr>
      <w:r>
        <w:tab/>
      </w:r>
      <w:r>
        <w:tab/>
      </w:r>
      <w:r>
        <w:tab/>
      </w:r>
      <w:r>
        <w:tab/>
      </w:r>
      <w:r>
        <w:tab/>
      </w:r>
      <w:r>
        <w:tab/>
      </w:r>
      <w:r>
        <w:tab/>
        <w:t>___________________________________</w:t>
      </w:r>
    </w:p>
    <w:p w14:paraId="5312CBD6" w14:textId="076632E7" w:rsidR="00325BE8" w:rsidRDefault="00325BE8" w:rsidP="00944243">
      <w:pPr>
        <w:spacing w:after="0"/>
      </w:pPr>
      <w:r>
        <w:tab/>
      </w:r>
      <w:r>
        <w:tab/>
      </w:r>
      <w:r>
        <w:tab/>
      </w:r>
      <w:r>
        <w:tab/>
      </w:r>
      <w:r>
        <w:tab/>
      </w:r>
      <w:r>
        <w:tab/>
      </w:r>
      <w:r>
        <w:tab/>
        <w:t>Patrick F. Timmons, Jr.</w:t>
      </w:r>
    </w:p>
    <w:p w14:paraId="76BB82CF" w14:textId="560FE1A1" w:rsidR="00325BE8" w:rsidRDefault="00325BE8" w:rsidP="00944243">
      <w:pPr>
        <w:spacing w:after="0"/>
      </w:pPr>
      <w:r>
        <w:tab/>
      </w:r>
      <w:r>
        <w:tab/>
      </w:r>
      <w:r>
        <w:tab/>
      </w:r>
      <w:r>
        <w:tab/>
      </w:r>
      <w:r>
        <w:tab/>
      </w:r>
      <w:r>
        <w:tab/>
      </w:r>
      <w:r>
        <w:tab/>
        <w:t>1503 Buckmann Ct</w:t>
      </w:r>
    </w:p>
    <w:p w14:paraId="3A4FB2AF" w14:textId="2879B685" w:rsidR="00325BE8" w:rsidRDefault="00325BE8" w:rsidP="00944243">
      <w:pPr>
        <w:spacing w:after="0"/>
      </w:pPr>
      <w:r>
        <w:tab/>
      </w:r>
      <w:r>
        <w:tab/>
      </w:r>
      <w:r>
        <w:tab/>
      </w:r>
      <w:r>
        <w:tab/>
      </w:r>
      <w:r>
        <w:tab/>
      </w:r>
      <w:r>
        <w:tab/>
      </w:r>
      <w:r>
        <w:tab/>
        <w:t>Houston, Texas 77043</w:t>
      </w:r>
    </w:p>
    <w:p w14:paraId="605BC569" w14:textId="7FA50BCF" w:rsidR="00325BE8" w:rsidRDefault="00325BE8" w:rsidP="00944243">
      <w:pPr>
        <w:spacing w:after="0"/>
      </w:pPr>
      <w:r>
        <w:tab/>
      </w:r>
      <w:r>
        <w:tab/>
      </w:r>
      <w:r>
        <w:tab/>
      </w:r>
      <w:r>
        <w:tab/>
      </w:r>
      <w:r>
        <w:tab/>
      </w:r>
      <w:r>
        <w:tab/>
        <w:t xml:space="preserve">              o. (713) 465 7638</w:t>
      </w:r>
    </w:p>
    <w:p w14:paraId="770A2FB8" w14:textId="05040239" w:rsidR="00325BE8" w:rsidRDefault="00325BE8" w:rsidP="00944243">
      <w:pPr>
        <w:spacing w:after="0"/>
      </w:pPr>
      <w:r>
        <w:tab/>
      </w:r>
      <w:r>
        <w:tab/>
      </w:r>
      <w:r>
        <w:tab/>
      </w:r>
      <w:r>
        <w:tab/>
      </w:r>
      <w:r>
        <w:tab/>
      </w:r>
      <w:r>
        <w:tab/>
      </w:r>
      <w:r>
        <w:tab/>
        <w:t>f. (713) 465 9527</w:t>
      </w:r>
    </w:p>
    <w:p w14:paraId="7F64B2F2" w14:textId="286CEAB3" w:rsidR="00325BE8" w:rsidRDefault="00325BE8" w:rsidP="00944243">
      <w:pPr>
        <w:spacing w:after="0"/>
      </w:pPr>
      <w:r>
        <w:tab/>
      </w:r>
      <w:r>
        <w:tab/>
      </w:r>
      <w:r>
        <w:tab/>
      </w:r>
      <w:r>
        <w:tab/>
      </w:r>
      <w:r>
        <w:tab/>
      </w:r>
      <w:r>
        <w:tab/>
      </w:r>
      <w:r>
        <w:tab/>
      </w:r>
      <w:hyperlink r:id="rId8" w:history="1">
        <w:r w:rsidRPr="00DD220A">
          <w:rPr>
            <w:rStyle w:val="Hyperlink"/>
          </w:rPr>
          <w:t>pft@timmonslawfirm.com</w:t>
        </w:r>
      </w:hyperlink>
    </w:p>
    <w:p w14:paraId="0D15B08C" w14:textId="77777777" w:rsidR="004E2EE4" w:rsidRDefault="004E2EE4" w:rsidP="000562DD"/>
    <w:p w14:paraId="2744E4AF" w14:textId="406349A2" w:rsidR="00325BE8" w:rsidRDefault="00325BE8" w:rsidP="000562DD">
      <w:pPr>
        <w:rPr>
          <w:u w:val="single"/>
        </w:rPr>
      </w:pPr>
      <w:r>
        <w:tab/>
      </w:r>
      <w:r>
        <w:tab/>
      </w:r>
      <w:r>
        <w:tab/>
      </w:r>
      <w:r>
        <w:tab/>
      </w:r>
      <w:r>
        <w:tab/>
      </w:r>
      <w:r w:rsidRPr="00ED256C">
        <w:rPr>
          <w:u w:val="single"/>
        </w:rPr>
        <w:t>Certificate of Service</w:t>
      </w:r>
    </w:p>
    <w:p w14:paraId="3C0CA34B" w14:textId="0D93A7D9" w:rsidR="00325BE8" w:rsidRDefault="00325BE8" w:rsidP="000562DD">
      <w:r w:rsidRPr="00ED256C">
        <w:tab/>
        <w:t>I hereby</w:t>
      </w:r>
      <w:r>
        <w:t xml:space="preserve"> certify that a true copy of the foregoing Motion was served on the Applicant, PUC staff and all other parties on this </w:t>
      </w:r>
      <w:r w:rsidR="006D20C0">
        <w:t>31st</w:t>
      </w:r>
      <w:r>
        <w:t xml:space="preserve"> day of</w:t>
      </w:r>
      <w:r w:rsidR="006D20C0">
        <w:t xml:space="preserve"> </w:t>
      </w:r>
      <w:proofErr w:type="gramStart"/>
      <w:r w:rsidR="006D20C0">
        <w:t>January</w:t>
      </w:r>
      <w:r>
        <w:t>,</w:t>
      </w:r>
      <w:proofErr w:type="gramEnd"/>
      <w:r>
        <w:t xml:space="preserve"> 202</w:t>
      </w:r>
      <w:r w:rsidR="006D20C0">
        <w:t>2</w:t>
      </w:r>
      <w:r>
        <w:t>, as provided by 16 TAC Section 22.74.</w:t>
      </w:r>
    </w:p>
    <w:p w14:paraId="38E2453F" w14:textId="77777777" w:rsidR="006D20C0" w:rsidRDefault="006D20C0" w:rsidP="000562DD"/>
    <w:p w14:paraId="04B44EBB" w14:textId="04DC7C6C" w:rsidR="00325BE8" w:rsidRDefault="00325BE8" w:rsidP="000562DD">
      <w:r>
        <w:tab/>
      </w:r>
      <w:r>
        <w:tab/>
      </w:r>
      <w:r>
        <w:tab/>
      </w:r>
      <w:r>
        <w:tab/>
      </w:r>
      <w:r>
        <w:tab/>
      </w:r>
      <w:r>
        <w:tab/>
      </w:r>
      <w:r>
        <w:tab/>
      </w:r>
      <w:r w:rsidR="006D20C0">
        <w:t>/s/</w:t>
      </w:r>
    </w:p>
    <w:p w14:paraId="0614BA5B" w14:textId="23ACE3D9" w:rsidR="00325BE8" w:rsidRDefault="00325BE8" w:rsidP="00944243">
      <w:pPr>
        <w:spacing w:after="0"/>
      </w:pPr>
      <w:r>
        <w:tab/>
      </w:r>
      <w:r>
        <w:tab/>
      </w:r>
      <w:r>
        <w:tab/>
      </w:r>
      <w:r>
        <w:tab/>
      </w:r>
      <w:r>
        <w:tab/>
      </w:r>
      <w:r>
        <w:tab/>
      </w:r>
      <w:r>
        <w:tab/>
        <w:t>____________________________________</w:t>
      </w:r>
    </w:p>
    <w:p w14:paraId="3AADC8DC" w14:textId="34C9AF02" w:rsidR="00325BE8" w:rsidRPr="00ED256C" w:rsidRDefault="00325BE8" w:rsidP="00944243">
      <w:pPr>
        <w:spacing w:after="0"/>
      </w:pPr>
      <w:r>
        <w:tab/>
      </w:r>
      <w:r>
        <w:tab/>
      </w:r>
      <w:r>
        <w:tab/>
      </w:r>
      <w:r>
        <w:tab/>
      </w:r>
      <w:r>
        <w:tab/>
      </w:r>
      <w:r>
        <w:tab/>
      </w:r>
      <w:r>
        <w:tab/>
        <w:t>Patrick F. Timmons, Jr.</w:t>
      </w:r>
    </w:p>
    <w:p w14:paraId="3F9816C5" w14:textId="3BBD783C" w:rsidR="00325BE8" w:rsidRDefault="00325BE8" w:rsidP="000562DD">
      <w:r>
        <w:tab/>
      </w:r>
      <w:r>
        <w:tab/>
      </w:r>
      <w:r>
        <w:tab/>
      </w:r>
      <w:r>
        <w:tab/>
      </w:r>
      <w:r>
        <w:tab/>
      </w:r>
      <w:r>
        <w:tab/>
      </w:r>
      <w:r>
        <w:tab/>
      </w:r>
      <w:r>
        <w:tab/>
      </w:r>
      <w:r>
        <w:tab/>
      </w:r>
      <w:r>
        <w:tab/>
        <w:t xml:space="preserve">                      </w:t>
      </w:r>
      <w:r>
        <w:tab/>
      </w:r>
      <w:r>
        <w:tab/>
      </w:r>
      <w:r>
        <w:tab/>
      </w:r>
      <w:r>
        <w:tab/>
      </w:r>
      <w:r>
        <w:tab/>
      </w:r>
      <w:r>
        <w:tab/>
      </w:r>
      <w:r>
        <w:tab/>
      </w:r>
      <w:r>
        <w:tab/>
      </w:r>
    </w:p>
    <w:p w14:paraId="76963CF0" w14:textId="7F323387" w:rsidR="000562DD" w:rsidRPr="00CB7419" w:rsidRDefault="00325BE8" w:rsidP="000562DD">
      <w:r>
        <w:tab/>
      </w:r>
      <w:r w:rsidR="000562DD">
        <w:tab/>
      </w:r>
      <w:r w:rsidR="000562DD">
        <w:tab/>
      </w:r>
    </w:p>
    <w:sectPr w:rsidR="000562DD" w:rsidRPr="00CB7419">
      <w:footerReference w:type="default" r:id="rId9"/>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C702F" w14:textId="77777777" w:rsidR="00526617" w:rsidRDefault="00526617" w:rsidP="0087707D">
      <w:pPr>
        <w:spacing w:after="0" w:line="240" w:lineRule="auto"/>
      </w:pPr>
      <w:r>
        <w:separator/>
      </w:r>
    </w:p>
  </w:endnote>
  <w:endnote w:type="continuationSeparator" w:id="0">
    <w:p w14:paraId="32E02D68" w14:textId="77777777" w:rsidR="00526617" w:rsidRDefault="00526617" w:rsidP="00877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aytona">
    <w:altName w:val="Daytona"/>
    <w:charset w:val="00"/>
    <w:family w:val="swiss"/>
    <w:pitch w:val="variable"/>
    <w:sig w:usb0="800002EF" w:usb1="0000000A"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5933274"/>
      <w:docPartObj>
        <w:docPartGallery w:val="Page Numbers (Bottom of Page)"/>
        <w:docPartUnique/>
      </w:docPartObj>
    </w:sdtPr>
    <w:sdtEndPr>
      <w:rPr>
        <w:noProof/>
      </w:rPr>
    </w:sdtEndPr>
    <w:sdtContent>
      <w:p w14:paraId="7096754F" w14:textId="67093B6C" w:rsidR="002D42BD" w:rsidRDefault="002D42B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B9C4AEF" w14:textId="77777777" w:rsidR="002D42BD" w:rsidRDefault="002D42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E0153" w14:textId="77777777" w:rsidR="00526617" w:rsidRDefault="00526617" w:rsidP="0087707D">
      <w:pPr>
        <w:spacing w:after="0" w:line="240" w:lineRule="auto"/>
      </w:pPr>
      <w:r>
        <w:separator/>
      </w:r>
    </w:p>
  </w:footnote>
  <w:footnote w:type="continuationSeparator" w:id="0">
    <w:p w14:paraId="22CB2EEA" w14:textId="77777777" w:rsidR="00526617" w:rsidRDefault="00526617" w:rsidP="008770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EF1AAB"/>
    <w:multiLevelType w:val="hybridMultilevel"/>
    <w:tmpl w:val="5A62EE2C"/>
    <w:lvl w:ilvl="0" w:tplc="8FAE6A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1CF0FC6"/>
    <w:multiLevelType w:val="hybridMultilevel"/>
    <w:tmpl w:val="B38EBB7C"/>
    <w:lvl w:ilvl="0" w:tplc="94F87096">
      <w:start w:val="1"/>
      <w:numFmt w:val="upperRoman"/>
      <w:lvlText w:val="%1."/>
      <w:lvlJc w:val="left"/>
      <w:pPr>
        <w:ind w:left="5040" w:hanging="72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2" w15:restartNumberingAfterBreak="0">
    <w:nsid w:val="336D0737"/>
    <w:multiLevelType w:val="hybridMultilevel"/>
    <w:tmpl w:val="C37CDDA6"/>
    <w:lvl w:ilvl="0" w:tplc="3EE2C5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419"/>
    <w:rsid w:val="00003737"/>
    <w:rsid w:val="00016260"/>
    <w:rsid w:val="0002406A"/>
    <w:rsid w:val="0003471C"/>
    <w:rsid w:val="00034E8D"/>
    <w:rsid w:val="000419D5"/>
    <w:rsid w:val="00052201"/>
    <w:rsid w:val="00054AF8"/>
    <w:rsid w:val="00055290"/>
    <w:rsid w:val="000562DD"/>
    <w:rsid w:val="00062A6D"/>
    <w:rsid w:val="00071647"/>
    <w:rsid w:val="00080847"/>
    <w:rsid w:val="00091DA1"/>
    <w:rsid w:val="000966D1"/>
    <w:rsid w:val="000A55ED"/>
    <w:rsid w:val="000C37D9"/>
    <w:rsid w:val="000D412B"/>
    <w:rsid w:val="000D6366"/>
    <w:rsid w:val="00102C5B"/>
    <w:rsid w:val="00105832"/>
    <w:rsid w:val="00107F2C"/>
    <w:rsid w:val="001120D6"/>
    <w:rsid w:val="00114154"/>
    <w:rsid w:val="001146E1"/>
    <w:rsid w:val="00125A42"/>
    <w:rsid w:val="00127C52"/>
    <w:rsid w:val="00130BCB"/>
    <w:rsid w:val="00131CB4"/>
    <w:rsid w:val="00137586"/>
    <w:rsid w:val="00144192"/>
    <w:rsid w:val="0014426F"/>
    <w:rsid w:val="00147CE6"/>
    <w:rsid w:val="001600A0"/>
    <w:rsid w:val="00174312"/>
    <w:rsid w:val="00175A6F"/>
    <w:rsid w:val="00186258"/>
    <w:rsid w:val="00195207"/>
    <w:rsid w:val="001A1ACF"/>
    <w:rsid w:val="001A221F"/>
    <w:rsid w:val="001A5455"/>
    <w:rsid w:val="001B1EA5"/>
    <w:rsid w:val="001B7203"/>
    <w:rsid w:val="001C19E8"/>
    <w:rsid w:val="001D7923"/>
    <w:rsid w:val="001E12F3"/>
    <w:rsid w:val="001F0AFD"/>
    <w:rsid w:val="001F6C34"/>
    <w:rsid w:val="00200270"/>
    <w:rsid w:val="002006C4"/>
    <w:rsid w:val="0021224B"/>
    <w:rsid w:val="00221439"/>
    <w:rsid w:val="0022444C"/>
    <w:rsid w:val="00234CBD"/>
    <w:rsid w:val="00250848"/>
    <w:rsid w:val="0025093A"/>
    <w:rsid w:val="002744F9"/>
    <w:rsid w:val="00283B3D"/>
    <w:rsid w:val="002867F0"/>
    <w:rsid w:val="002A5B93"/>
    <w:rsid w:val="002A5D5F"/>
    <w:rsid w:val="002B3F78"/>
    <w:rsid w:val="002B64FF"/>
    <w:rsid w:val="002C4951"/>
    <w:rsid w:val="002C716F"/>
    <w:rsid w:val="002D42BD"/>
    <w:rsid w:val="002F199F"/>
    <w:rsid w:val="00302943"/>
    <w:rsid w:val="00315ADC"/>
    <w:rsid w:val="00317EE5"/>
    <w:rsid w:val="00321C0E"/>
    <w:rsid w:val="003220F2"/>
    <w:rsid w:val="003231A9"/>
    <w:rsid w:val="00325BE8"/>
    <w:rsid w:val="0032614D"/>
    <w:rsid w:val="00331CF5"/>
    <w:rsid w:val="0033397B"/>
    <w:rsid w:val="0034622D"/>
    <w:rsid w:val="0035483C"/>
    <w:rsid w:val="0036722E"/>
    <w:rsid w:val="00367FE7"/>
    <w:rsid w:val="003764CE"/>
    <w:rsid w:val="00381015"/>
    <w:rsid w:val="00381B98"/>
    <w:rsid w:val="003A3029"/>
    <w:rsid w:val="003B0D9F"/>
    <w:rsid w:val="003B2933"/>
    <w:rsid w:val="003B44D6"/>
    <w:rsid w:val="003C1BCD"/>
    <w:rsid w:val="003C78FA"/>
    <w:rsid w:val="003F6911"/>
    <w:rsid w:val="004017E6"/>
    <w:rsid w:val="00402E59"/>
    <w:rsid w:val="004100B0"/>
    <w:rsid w:val="0041203D"/>
    <w:rsid w:val="00413FC0"/>
    <w:rsid w:val="004221D4"/>
    <w:rsid w:val="00426719"/>
    <w:rsid w:val="00431B0F"/>
    <w:rsid w:val="004358E3"/>
    <w:rsid w:val="00453523"/>
    <w:rsid w:val="0047274D"/>
    <w:rsid w:val="00483B54"/>
    <w:rsid w:val="00483FDD"/>
    <w:rsid w:val="004845EB"/>
    <w:rsid w:val="00490BFF"/>
    <w:rsid w:val="00492B31"/>
    <w:rsid w:val="004B0B51"/>
    <w:rsid w:val="004B0C06"/>
    <w:rsid w:val="004C6C98"/>
    <w:rsid w:val="004E2EE4"/>
    <w:rsid w:val="004F1A06"/>
    <w:rsid w:val="005253FA"/>
    <w:rsid w:val="00526617"/>
    <w:rsid w:val="0053387F"/>
    <w:rsid w:val="00546C2F"/>
    <w:rsid w:val="005509BF"/>
    <w:rsid w:val="00551A16"/>
    <w:rsid w:val="005558F0"/>
    <w:rsid w:val="0056097B"/>
    <w:rsid w:val="00567F5E"/>
    <w:rsid w:val="00574B08"/>
    <w:rsid w:val="00575F16"/>
    <w:rsid w:val="0057607B"/>
    <w:rsid w:val="00580984"/>
    <w:rsid w:val="00584CBD"/>
    <w:rsid w:val="00585ED4"/>
    <w:rsid w:val="00585F5B"/>
    <w:rsid w:val="005B1226"/>
    <w:rsid w:val="005B6F09"/>
    <w:rsid w:val="005C0542"/>
    <w:rsid w:val="005C5670"/>
    <w:rsid w:val="005D347E"/>
    <w:rsid w:val="005D37A3"/>
    <w:rsid w:val="005D571D"/>
    <w:rsid w:val="005E38E7"/>
    <w:rsid w:val="005E5C8A"/>
    <w:rsid w:val="005F6BC9"/>
    <w:rsid w:val="006001FE"/>
    <w:rsid w:val="006038BD"/>
    <w:rsid w:val="00606D80"/>
    <w:rsid w:val="00607FE7"/>
    <w:rsid w:val="00610C5F"/>
    <w:rsid w:val="00611D4F"/>
    <w:rsid w:val="00613DA9"/>
    <w:rsid w:val="006167DB"/>
    <w:rsid w:val="00626FCE"/>
    <w:rsid w:val="00653C90"/>
    <w:rsid w:val="00654041"/>
    <w:rsid w:val="00672827"/>
    <w:rsid w:val="00673999"/>
    <w:rsid w:val="006768C0"/>
    <w:rsid w:val="006847CB"/>
    <w:rsid w:val="00687F45"/>
    <w:rsid w:val="00692EC5"/>
    <w:rsid w:val="00695EC0"/>
    <w:rsid w:val="0069626D"/>
    <w:rsid w:val="006A2CBF"/>
    <w:rsid w:val="006B1E90"/>
    <w:rsid w:val="006B2388"/>
    <w:rsid w:val="006C49F6"/>
    <w:rsid w:val="006C72B1"/>
    <w:rsid w:val="006C7D03"/>
    <w:rsid w:val="006D1605"/>
    <w:rsid w:val="006D20C0"/>
    <w:rsid w:val="006E4B21"/>
    <w:rsid w:val="006F1015"/>
    <w:rsid w:val="006F2631"/>
    <w:rsid w:val="006F7E87"/>
    <w:rsid w:val="00700062"/>
    <w:rsid w:val="007114DE"/>
    <w:rsid w:val="007161F0"/>
    <w:rsid w:val="007258FE"/>
    <w:rsid w:val="00736EB6"/>
    <w:rsid w:val="00743D45"/>
    <w:rsid w:val="007451CA"/>
    <w:rsid w:val="00752177"/>
    <w:rsid w:val="00755768"/>
    <w:rsid w:val="00760BBC"/>
    <w:rsid w:val="0076147D"/>
    <w:rsid w:val="00766B2B"/>
    <w:rsid w:val="00790E33"/>
    <w:rsid w:val="00792635"/>
    <w:rsid w:val="007A4199"/>
    <w:rsid w:val="007A5ED6"/>
    <w:rsid w:val="007C2C93"/>
    <w:rsid w:val="007C477E"/>
    <w:rsid w:val="007C6C91"/>
    <w:rsid w:val="007F13F9"/>
    <w:rsid w:val="00802C1F"/>
    <w:rsid w:val="00821BCB"/>
    <w:rsid w:val="00821E69"/>
    <w:rsid w:val="00831423"/>
    <w:rsid w:val="00835F48"/>
    <w:rsid w:val="0083760C"/>
    <w:rsid w:val="00852156"/>
    <w:rsid w:val="00875C4E"/>
    <w:rsid w:val="0087607B"/>
    <w:rsid w:val="0087707D"/>
    <w:rsid w:val="00883E6B"/>
    <w:rsid w:val="008950A9"/>
    <w:rsid w:val="00895F2A"/>
    <w:rsid w:val="00896CE6"/>
    <w:rsid w:val="008A6744"/>
    <w:rsid w:val="008B0416"/>
    <w:rsid w:val="008B3AF4"/>
    <w:rsid w:val="008C1C1E"/>
    <w:rsid w:val="008C69FB"/>
    <w:rsid w:val="008E5F21"/>
    <w:rsid w:val="008F1DA1"/>
    <w:rsid w:val="00903D17"/>
    <w:rsid w:val="0090591A"/>
    <w:rsid w:val="00933E42"/>
    <w:rsid w:val="0093691F"/>
    <w:rsid w:val="00943D5C"/>
    <w:rsid w:val="00944243"/>
    <w:rsid w:val="00953B76"/>
    <w:rsid w:val="00966C8C"/>
    <w:rsid w:val="00974224"/>
    <w:rsid w:val="00983F87"/>
    <w:rsid w:val="009928B9"/>
    <w:rsid w:val="009930DF"/>
    <w:rsid w:val="009A545C"/>
    <w:rsid w:val="009B7DA2"/>
    <w:rsid w:val="009C23FD"/>
    <w:rsid w:val="009D0B0A"/>
    <w:rsid w:val="009F2E66"/>
    <w:rsid w:val="009F4052"/>
    <w:rsid w:val="00A05A9E"/>
    <w:rsid w:val="00A0740A"/>
    <w:rsid w:val="00A42EE5"/>
    <w:rsid w:val="00A5312E"/>
    <w:rsid w:val="00A739A3"/>
    <w:rsid w:val="00A771BB"/>
    <w:rsid w:val="00A77E15"/>
    <w:rsid w:val="00A80DA9"/>
    <w:rsid w:val="00AA4960"/>
    <w:rsid w:val="00AB6644"/>
    <w:rsid w:val="00AC0066"/>
    <w:rsid w:val="00AC4DEE"/>
    <w:rsid w:val="00AC6BAD"/>
    <w:rsid w:val="00AF1DCA"/>
    <w:rsid w:val="00AF4963"/>
    <w:rsid w:val="00B00FE4"/>
    <w:rsid w:val="00B03631"/>
    <w:rsid w:val="00B14AF9"/>
    <w:rsid w:val="00B27712"/>
    <w:rsid w:val="00B426B0"/>
    <w:rsid w:val="00B4483C"/>
    <w:rsid w:val="00B46240"/>
    <w:rsid w:val="00B47305"/>
    <w:rsid w:val="00B5345B"/>
    <w:rsid w:val="00B63151"/>
    <w:rsid w:val="00B82669"/>
    <w:rsid w:val="00B86994"/>
    <w:rsid w:val="00BA01B6"/>
    <w:rsid w:val="00BA5B1A"/>
    <w:rsid w:val="00BA6D22"/>
    <w:rsid w:val="00BA7B39"/>
    <w:rsid w:val="00BB48D7"/>
    <w:rsid w:val="00BB4EFC"/>
    <w:rsid w:val="00BB791E"/>
    <w:rsid w:val="00BC1F9C"/>
    <w:rsid w:val="00BD004D"/>
    <w:rsid w:val="00BD6C4F"/>
    <w:rsid w:val="00BF0CD5"/>
    <w:rsid w:val="00BF59B4"/>
    <w:rsid w:val="00C028D2"/>
    <w:rsid w:val="00C11722"/>
    <w:rsid w:val="00C11F2F"/>
    <w:rsid w:val="00C127AC"/>
    <w:rsid w:val="00C131C7"/>
    <w:rsid w:val="00C24AE4"/>
    <w:rsid w:val="00C26900"/>
    <w:rsid w:val="00C4739B"/>
    <w:rsid w:val="00C61813"/>
    <w:rsid w:val="00C6201E"/>
    <w:rsid w:val="00C63D71"/>
    <w:rsid w:val="00C6486E"/>
    <w:rsid w:val="00C70B57"/>
    <w:rsid w:val="00C72C15"/>
    <w:rsid w:val="00C73927"/>
    <w:rsid w:val="00C74468"/>
    <w:rsid w:val="00C76367"/>
    <w:rsid w:val="00C94D0A"/>
    <w:rsid w:val="00C970FD"/>
    <w:rsid w:val="00CA1226"/>
    <w:rsid w:val="00CA50E5"/>
    <w:rsid w:val="00CA5333"/>
    <w:rsid w:val="00CA583C"/>
    <w:rsid w:val="00CB0B83"/>
    <w:rsid w:val="00CB7419"/>
    <w:rsid w:val="00CE2920"/>
    <w:rsid w:val="00CE7C46"/>
    <w:rsid w:val="00D062F9"/>
    <w:rsid w:val="00D15DCA"/>
    <w:rsid w:val="00D325B8"/>
    <w:rsid w:val="00D40E1E"/>
    <w:rsid w:val="00D4315C"/>
    <w:rsid w:val="00D535EB"/>
    <w:rsid w:val="00D5421A"/>
    <w:rsid w:val="00D558D7"/>
    <w:rsid w:val="00D71968"/>
    <w:rsid w:val="00D87676"/>
    <w:rsid w:val="00DA2A12"/>
    <w:rsid w:val="00DB6FED"/>
    <w:rsid w:val="00DC3B7F"/>
    <w:rsid w:val="00DC3BA1"/>
    <w:rsid w:val="00DC74CB"/>
    <w:rsid w:val="00DD72D8"/>
    <w:rsid w:val="00DD75CF"/>
    <w:rsid w:val="00DE696C"/>
    <w:rsid w:val="00E05EEA"/>
    <w:rsid w:val="00E1178A"/>
    <w:rsid w:val="00E12944"/>
    <w:rsid w:val="00E20127"/>
    <w:rsid w:val="00E201F7"/>
    <w:rsid w:val="00E213E3"/>
    <w:rsid w:val="00E23C96"/>
    <w:rsid w:val="00E25FF1"/>
    <w:rsid w:val="00E34F53"/>
    <w:rsid w:val="00E41914"/>
    <w:rsid w:val="00E47815"/>
    <w:rsid w:val="00E571EB"/>
    <w:rsid w:val="00E66618"/>
    <w:rsid w:val="00E70E7E"/>
    <w:rsid w:val="00E90ED8"/>
    <w:rsid w:val="00E916D6"/>
    <w:rsid w:val="00E96C71"/>
    <w:rsid w:val="00EA0E78"/>
    <w:rsid w:val="00EB109B"/>
    <w:rsid w:val="00EC7531"/>
    <w:rsid w:val="00ED256C"/>
    <w:rsid w:val="00ED792B"/>
    <w:rsid w:val="00EE70D1"/>
    <w:rsid w:val="00EE772C"/>
    <w:rsid w:val="00EF5FD2"/>
    <w:rsid w:val="00EF71F1"/>
    <w:rsid w:val="00EF79F8"/>
    <w:rsid w:val="00F07AE0"/>
    <w:rsid w:val="00F12904"/>
    <w:rsid w:val="00F23E8C"/>
    <w:rsid w:val="00F35E9B"/>
    <w:rsid w:val="00F36644"/>
    <w:rsid w:val="00F538F8"/>
    <w:rsid w:val="00F62127"/>
    <w:rsid w:val="00F6285D"/>
    <w:rsid w:val="00F63AA0"/>
    <w:rsid w:val="00F7145D"/>
    <w:rsid w:val="00F81B65"/>
    <w:rsid w:val="00F82D3A"/>
    <w:rsid w:val="00F83232"/>
    <w:rsid w:val="00F920F8"/>
    <w:rsid w:val="00FA0886"/>
    <w:rsid w:val="00FA6B0F"/>
    <w:rsid w:val="00FB76CF"/>
    <w:rsid w:val="00FC59A0"/>
    <w:rsid w:val="00FE7086"/>
    <w:rsid w:val="00FF1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5E5295"/>
  <w15:chartTrackingRefBased/>
  <w15:docId w15:val="{B64370CC-B0A9-4936-A960-3A94F8034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62DD"/>
    <w:pPr>
      <w:ind w:left="720"/>
      <w:contextualSpacing/>
    </w:pPr>
  </w:style>
  <w:style w:type="character" w:styleId="Hyperlink">
    <w:name w:val="Hyperlink"/>
    <w:basedOn w:val="DefaultParagraphFont"/>
    <w:uiPriority w:val="99"/>
    <w:unhideWhenUsed/>
    <w:rsid w:val="00ED256C"/>
    <w:rPr>
      <w:color w:val="0563C1" w:themeColor="hyperlink"/>
      <w:u w:val="single"/>
    </w:rPr>
  </w:style>
  <w:style w:type="character" w:styleId="UnresolvedMention">
    <w:name w:val="Unresolved Mention"/>
    <w:basedOn w:val="DefaultParagraphFont"/>
    <w:uiPriority w:val="99"/>
    <w:semiHidden/>
    <w:unhideWhenUsed/>
    <w:rsid w:val="00ED256C"/>
    <w:rPr>
      <w:color w:val="605E5C"/>
      <w:shd w:val="clear" w:color="auto" w:fill="E1DFDD"/>
    </w:rPr>
  </w:style>
  <w:style w:type="paragraph" w:styleId="FootnoteText">
    <w:name w:val="footnote text"/>
    <w:basedOn w:val="Normal"/>
    <w:link w:val="FootnoteTextChar"/>
    <w:uiPriority w:val="99"/>
    <w:semiHidden/>
    <w:unhideWhenUsed/>
    <w:rsid w:val="0087707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7707D"/>
    <w:rPr>
      <w:sz w:val="20"/>
      <w:szCs w:val="20"/>
    </w:rPr>
  </w:style>
  <w:style w:type="character" w:styleId="FootnoteReference">
    <w:name w:val="footnote reference"/>
    <w:basedOn w:val="DefaultParagraphFont"/>
    <w:uiPriority w:val="99"/>
    <w:semiHidden/>
    <w:unhideWhenUsed/>
    <w:rsid w:val="0087707D"/>
    <w:rPr>
      <w:vertAlign w:val="superscript"/>
    </w:rPr>
  </w:style>
  <w:style w:type="paragraph" w:styleId="EndnoteText">
    <w:name w:val="endnote text"/>
    <w:basedOn w:val="Normal"/>
    <w:link w:val="EndnoteTextChar"/>
    <w:uiPriority w:val="99"/>
    <w:semiHidden/>
    <w:unhideWhenUsed/>
    <w:rsid w:val="00325BE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25BE8"/>
    <w:rPr>
      <w:sz w:val="20"/>
      <w:szCs w:val="20"/>
    </w:rPr>
  </w:style>
  <w:style w:type="character" w:styleId="EndnoteReference">
    <w:name w:val="endnote reference"/>
    <w:basedOn w:val="DefaultParagraphFont"/>
    <w:uiPriority w:val="99"/>
    <w:semiHidden/>
    <w:unhideWhenUsed/>
    <w:rsid w:val="00325BE8"/>
    <w:rPr>
      <w:vertAlign w:val="superscript"/>
    </w:rPr>
  </w:style>
  <w:style w:type="paragraph" w:customStyle="1" w:styleId="left">
    <w:name w:val="left"/>
    <w:basedOn w:val="Normal"/>
    <w:rsid w:val="00C11F2F"/>
    <w:pPr>
      <w:spacing w:before="100" w:beforeAutospacing="1" w:after="100" w:afterAutospacing="1" w:line="240" w:lineRule="auto"/>
    </w:pPr>
    <w:rPr>
      <w:rFonts w:ascii="Times New Roman" w:eastAsia="Times New Roman" w:hAnsi="Times New Roman" w:cs="Times New Roman"/>
      <w:sz w:val="24"/>
      <w:szCs w:val="24"/>
    </w:rPr>
  </w:style>
  <w:style w:type="paragraph" w:styleId="Quote">
    <w:name w:val="Quote"/>
    <w:basedOn w:val="Normal"/>
    <w:next w:val="Normal"/>
    <w:link w:val="QuoteChar"/>
    <w:uiPriority w:val="29"/>
    <w:qFormat/>
    <w:rsid w:val="00C11F2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C11F2F"/>
    <w:rPr>
      <w:i/>
      <w:iCs/>
      <w:color w:val="404040" w:themeColor="text1" w:themeTint="BF"/>
    </w:rPr>
  </w:style>
  <w:style w:type="paragraph" w:styleId="Header">
    <w:name w:val="header"/>
    <w:basedOn w:val="Normal"/>
    <w:link w:val="HeaderChar"/>
    <w:uiPriority w:val="99"/>
    <w:unhideWhenUsed/>
    <w:rsid w:val="002D42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42BD"/>
  </w:style>
  <w:style w:type="paragraph" w:styleId="Footer">
    <w:name w:val="footer"/>
    <w:basedOn w:val="Normal"/>
    <w:link w:val="FooterChar"/>
    <w:uiPriority w:val="99"/>
    <w:unhideWhenUsed/>
    <w:rsid w:val="002D42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42BD"/>
  </w:style>
  <w:style w:type="character" w:styleId="Strong">
    <w:name w:val="Strong"/>
    <w:basedOn w:val="DefaultParagraphFont"/>
    <w:uiPriority w:val="22"/>
    <w:qFormat/>
    <w:rsid w:val="00BA6D22"/>
    <w:rPr>
      <w:b/>
      <w:bCs/>
    </w:rPr>
  </w:style>
  <w:style w:type="paragraph" w:styleId="NoSpacing">
    <w:name w:val="No Spacing"/>
    <w:uiPriority w:val="1"/>
    <w:qFormat/>
    <w:rsid w:val="00BF0CD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474000">
      <w:bodyDiv w:val="1"/>
      <w:marLeft w:val="0"/>
      <w:marRight w:val="0"/>
      <w:marTop w:val="0"/>
      <w:marBottom w:val="0"/>
      <w:divBdr>
        <w:top w:val="none" w:sz="0" w:space="0" w:color="auto"/>
        <w:left w:val="none" w:sz="0" w:space="0" w:color="auto"/>
        <w:bottom w:val="none" w:sz="0" w:space="0" w:color="auto"/>
        <w:right w:val="none" w:sz="0" w:space="0" w:color="auto"/>
      </w:divBdr>
    </w:div>
    <w:div w:id="357701112">
      <w:bodyDiv w:val="1"/>
      <w:marLeft w:val="0"/>
      <w:marRight w:val="0"/>
      <w:marTop w:val="0"/>
      <w:marBottom w:val="0"/>
      <w:divBdr>
        <w:top w:val="none" w:sz="0" w:space="0" w:color="auto"/>
        <w:left w:val="none" w:sz="0" w:space="0" w:color="auto"/>
        <w:bottom w:val="none" w:sz="0" w:space="0" w:color="auto"/>
        <w:right w:val="none" w:sz="0" w:space="0" w:color="auto"/>
      </w:divBdr>
    </w:div>
    <w:div w:id="1412044981">
      <w:bodyDiv w:val="1"/>
      <w:marLeft w:val="0"/>
      <w:marRight w:val="0"/>
      <w:marTop w:val="0"/>
      <w:marBottom w:val="0"/>
      <w:divBdr>
        <w:top w:val="none" w:sz="0" w:space="0" w:color="auto"/>
        <w:left w:val="none" w:sz="0" w:space="0" w:color="auto"/>
        <w:bottom w:val="none" w:sz="0" w:space="0" w:color="auto"/>
        <w:right w:val="none" w:sz="0" w:space="0" w:color="auto"/>
      </w:divBdr>
    </w:div>
    <w:div w:id="1440684130">
      <w:bodyDiv w:val="1"/>
      <w:marLeft w:val="0"/>
      <w:marRight w:val="0"/>
      <w:marTop w:val="0"/>
      <w:marBottom w:val="0"/>
      <w:divBdr>
        <w:top w:val="none" w:sz="0" w:space="0" w:color="auto"/>
        <w:left w:val="none" w:sz="0" w:space="0" w:color="auto"/>
        <w:bottom w:val="none" w:sz="0" w:space="0" w:color="auto"/>
        <w:right w:val="none" w:sz="0" w:space="0" w:color="auto"/>
      </w:divBdr>
    </w:div>
    <w:div w:id="1940330472">
      <w:bodyDiv w:val="1"/>
      <w:marLeft w:val="0"/>
      <w:marRight w:val="0"/>
      <w:marTop w:val="0"/>
      <w:marBottom w:val="0"/>
      <w:divBdr>
        <w:top w:val="none" w:sz="0" w:space="0" w:color="auto"/>
        <w:left w:val="none" w:sz="0" w:space="0" w:color="auto"/>
        <w:bottom w:val="none" w:sz="0" w:space="0" w:color="auto"/>
        <w:right w:val="none" w:sz="0" w:space="0" w:color="auto"/>
      </w:divBdr>
    </w:div>
    <w:div w:id="2016572492">
      <w:bodyDiv w:val="1"/>
      <w:marLeft w:val="0"/>
      <w:marRight w:val="0"/>
      <w:marTop w:val="0"/>
      <w:marBottom w:val="0"/>
      <w:divBdr>
        <w:top w:val="none" w:sz="0" w:space="0" w:color="auto"/>
        <w:left w:val="none" w:sz="0" w:space="0" w:color="auto"/>
        <w:bottom w:val="none" w:sz="0" w:space="0" w:color="auto"/>
        <w:right w:val="none" w:sz="0" w:space="0" w:color="auto"/>
      </w:divBdr>
    </w:div>
    <w:div w:id="211401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ft@timmonslawfirm.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F3321-3985-4DA2-8229-AFFB374D4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889</Words>
  <Characters>5069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Timmons</dc:creator>
  <cp:keywords/>
  <dc:description/>
  <cp:lastModifiedBy>Patrick Timmons</cp:lastModifiedBy>
  <cp:revision>9</cp:revision>
  <cp:lastPrinted>2021-06-14T13:31:00Z</cp:lastPrinted>
  <dcterms:created xsi:type="dcterms:W3CDTF">2022-01-30T20:55:00Z</dcterms:created>
  <dcterms:modified xsi:type="dcterms:W3CDTF">2022-01-31T18:26:00Z</dcterms:modified>
</cp:coreProperties>
</file>